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71221251" w:rsidR="004D4904" w:rsidRPr="004D4904" w:rsidRDefault="0044701F" w:rsidP="009F5F0F">
      <w:pPr>
        <w:jc w:val="center"/>
        <w:rPr>
          <w:b/>
          <w:sz w:val="32"/>
          <w:szCs w:val="28"/>
        </w:rPr>
      </w:pPr>
      <w:r>
        <w:rPr>
          <w:b/>
          <w:sz w:val="32"/>
          <w:szCs w:val="28"/>
        </w:rPr>
        <w:t>Mission Fulfillment Committee</w:t>
      </w:r>
      <w:r w:rsidR="004D4904" w:rsidRPr="004D4904">
        <w:rPr>
          <w:b/>
          <w:sz w:val="32"/>
          <w:szCs w:val="28"/>
        </w:rPr>
        <w:t xml:space="preserve"> </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242A279E" w:rsidR="009F5F0F" w:rsidRPr="00270F5F" w:rsidRDefault="005F6023" w:rsidP="009F5F0F">
      <w:pPr>
        <w:jc w:val="center"/>
      </w:pPr>
      <w:r>
        <w:t>April 18</w:t>
      </w:r>
      <w:r w:rsidR="006F2F18" w:rsidRPr="00270F5F">
        <w:t>, 2018</w:t>
      </w:r>
    </w:p>
    <w:p w14:paraId="3F1E4C03" w14:textId="3965FA90" w:rsidR="009F5F0F" w:rsidRPr="00270F5F" w:rsidRDefault="005F6023" w:rsidP="009F5F0F">
      <w:pPr>
        <w:jc w:val="center"/>
      </w:pPr>
      <w:r>
        <w:t>1</w:t>
      </w:r>
      <w:r w:rsidR="00D93620">
        <w:t>:</w:t>
      </w:r>
      <w:r>
        <w:t>3</w:t>
      </w:r>
      <w:r w:rsidR="006F2F18" w:rsidRPr="00270F5F">
        <w:t>0</w:t>
      </w:r>
      <w:r w:rsidR="001D32BD" w:rsidRPr="00270F5F">
        <w:t>–</w:t>
      </w:r>
      <w:r>
        <w:t>3</w:t>
      </w:r>
      <w:r w:rsidR="00900B69">
        <w:t>:0</w:t>
      </w:r>
      <w:r w:rsidR="00D93620">
        <w:t xml:space="preserve">0 </w:t>
      </w:r>
      <w:r>
        <w:t>p</w:t>
      </w:r>
      <w:r w:rsidR="00D93620">
        <w:t>.m.</w:t>
      </w:r>
    </w:p>
    <w:p w14:paraId="753FCCAF" w14:textId="77777777" w:rsidR="0025330B" w:rsidRPr="00270F5F" w:rsidRDefault="0025330B" w:rsidP="009F5F0F">
      <w:pPr>
        <w:jc w:val="center"/>
      </w:pPr>
    </w:p>
    <w:p w14:paraId="62D6F989" w14:textId="77777777" w:rsidR="00601230" w:rsidRPr="00270F5F" w:rsidRDefault="00601230" w:rsidP="009F5F0F">
      <w:pPr>
        <w:jc w:val="center"/>
      </w:pPr>
    </w:p>
    <w:p w14:paraId="56226A73" w14:textId="72E38B02" w:rsidR="00536B07" w:rsidRPr="00270F5F" w:rsidRDefault="001F6908" w:rsidP="004D4904">
      <w:pPr>
        <w:pStyle w:val="ListParagraph"/>
        <w:numPr>
          <w:ilvl w:val="0"/>
          <w:numId w:val="17"/>
        </w:numPr>
        <w:rPr>
          <w:b/>
        </w:rPr>
      </w:pPr>
      <w:r w:rsidRPr="00270F5F">
        <w:rPr>
          <w:b/>
        </w:rPr>
        <w:t>Check-in and review commitments</w:t>
      </w:r>
    </w:p>
    <w:p w14:paraId="67E672C2" w14:textId="33B75070" w:rsidR="00270F5F" w:rsidRDefault="002F42FC" w:rsidP="002F42FC">
      <w:r>
        <w:t>No previous commitments.</w:t>
      </w:r>
    </w:p>
    <w:p w14:paraId="14C9D6A3" w14:textId="77777777" w:rsidR="00137173" w:rsidRPr="00270F5F" w:rsidRDefault="00137173" w:rsidP="0013424C"/>
    <w:p w14:paraId="24E507B5" w14:textId="0EC03822" w:rsidR="004D4904" w:rsidRDefault="005F6023" w:rsidP="002F04B0">
      <w:pPr>
        <w:pStyle w:val="ListParagraph"/>
        <w:numPr>
          <w:ilvl w:val="0"/>
          <w:numId w:val="20"/>
        </w:numPr>
        <w:ind w:left="360"/>
        <w:rPr>
          <w:b/>
        </w:rPr>
      </w:pPr>
      <w:r>
        <w:rPr>
          <w:b/>
        </w:rPr>
        <w:t>Review of Core Theme Indicators</w:t>
      </w:r>
    </w:p>
    <w:p w14:paraId="3DF59DD9" w14:textId="00DC249C" w:rsidR="00AC0D22" w:rsidRDefault="00AC0D22" w:rsidP="00AC0D22">
      <w:r>
        <w:t>Bill reinforced that before</w:t>
      </w:r>
      <w:r w:rsidRPr="00AC0D22">
        <w:t xml:space="preserve"> we consider a change </w:t>
      </w:r>
      <w:r>
        <w:t>[</w:t>
      </w:r>
      <w:r w:rsidRPr="00AC0D22">
        <w:t>to</w:t>
      </w:r>
      <w:r>
        <w:t xml:space="preserve"> an indicator] to</w:t>
      </w:r>
      <w:r w:rsidRPr="00AC0D22">
        <w:t xml:space="preserve"> be reasonable, we need to understand exactly what the sources is, the numerator, the denominator, that Lisa Anh can go find the information for us. We need to make sure that we understand it, that we can explain it, that we can find the information and pull the date for that timeframe.</w:t>
      </w:r>
    </w:p>
    <w:p w14:paraId="12B56FEB" w14:textId="77777777" w:rsidR="00AC0D22" w:rsidRDefault="00AC0D22" w:rsidP="00AC0D22"/>
    <w:p w14:paraId="6A6F9D50" w14:textId="61C056AC" w:rsidR="00AC0D22" w:rsidRPr="004F411F" w:rsidRDefault="00AC0D22" w:rsidP="00AC0D22">
      <w:r w:rsidRPr="004F411F">
        <w:t>Lisa Anh outline</w:t>
      </w:r>
      <w:r w:rsidR="004F411F" w:rsidRPr="004F411F">
        <w:t>d</w:t>
      </w:r>
      <w:r w:rsidRPr="004F411F">
        <w:t xml:space="preserve"> for the committee what has been discussed for each of the core themes by indicator. She captured changes in a document</w:t>
      </w:r>
      <w:r w:rsidR="004F411F" w:rsidRPr="004F411F">
        <w:t xml:space="preserve">, which </w:t>
      </w:r>
      <w:r w:rsidRPr="004F411F">
        <w:t xml:space="preserve">is attached at the end of these notes (pages 2-5). </w:t>
      </w:r>
    </w:p>
    <w:p w14:paraId="45C80E6C" w14:textId="77777777" w:rsidR="00AC0D22" w:rsidRDefault="00AC0D22" w:rsidP="00AC0D22"/>
    <w:p w14:paraId="26DE2AD7" w14:textId="43CEAF86" w:rsidR="00AC0D22" w:rsidRDefault="00AC0D22" w:rsidP="00AC0D22">
      <w:r>
        <w:t xml:space="preserve">Lisa Anh explained that we need to provide an ad hoc report to NWCCU by September. We have an internal deadline for the draft in June. This report will describe what our progress looks like on our core themes, looking at recommendations 4 and 5. </w:t>
      </w:r>
    </w:p>
    <w:p w14:paraId="56F2FFD2" w14:textId="77777777" w:rsidR="00AC0D22" w:rsidRDefault="00AC0D22" w:rsidP="00AC0D22"/>
    <w:p w14:paraId="6ECB9B55" w14:textId="2AC9EFA2" w:rsidR="00113701" w:rsidRDefault="00AC0D22" w:rsidP="00AC0D22">
      <w:r>
        <w:t xml:space="preserve">David provided an explanation for thresholds: </w:t>
      </w:r>
      <w:r w:rsidR="004027C4">
        <w:t>Thresholds that we have established, when we created</w:t>
      </w:r>
      <w:r w:rsidR="004F411F">
        <w:t xml:space="preserve"> them</w:t>
      </w:r>
      <w:r w:rsidR="004027C4">
        <w:t xml:space="preserve"> for year 1</w:t>
      </w:r>
      <w:r w:rsidR="006F55FD">
        <w:t>,</w:t>
      </w:r>
      <w:r w:rsidR="004027C4">
        <w:t xml:space="preserve"> were functioning as placeholders because we didn’t really have time to do a deep analysis of all of the data that was feeding into these indicators. We have had an opportunity to do a deep dive now and we realize that some don’t work. As the data landscape shifts, we are figuring out where we can have </w:t>
      </w:r>
      <w:proofErr w:type="spellStart"/>
      <w:r w:rsidR="004027C4">
        <w:t>benchmarkable</w:t>
      </w:r>
      <w:proofErr w:type="spellEnd"/>
      <w:r w:rsidR="004027C4">
        <w:t xml:space="preserve"> indicators. We are examining national practices. This is much more of </w:t>
      </w:r>
      <w:r>
        <w:t>a 6-month to full-</w:t>
      </w:r>
      <w:r w:rsidR="006F55FD">
        <w:t>year process</w:t>
      </w:r>
      <w:r>
        <w:t xml:space="preserve"> than a one-time thing</w:t>
      </w:r>
      <w:r w:rsidR="006F55FD">
        <w:t>.</w:t>
      </w:r>
    </w:p>
    <w:p w14:paraId="63B5B856" w14:textId="77777777" w:rsidR="00AC0D22" w:rsidRDefault="00AC0D22" w:rsidP="00AC0D22"/>
    <w:p w14:paraId="02449E0D" w14:textId="3A59D016" w:rsidR="00AC0D22" w:rsidRDefault="00AC0D22" w:rsidP="00AC0D22">
      <w:r>
        <w:t>For indicators where we aren’t able to get the data for a while (3.5, for example), we can say that we’re using this data for a while and will evaluate when we see what the VFA data looks like.</w:t>
      </w:r>
    </w:p>
    <w:p w14:paraId="596E402E" w14:textId="31318FD8" w:rsidR="005F6023" w:rsidRPr="00AC0D22" w:rsidRDefault="005F6023" w:rsidP="00AC0D22">
      <w:pPr>
        <w:rPr>
          <w:b/>
        </w:rPr>
      </w:pPr>
    </w:p>
    <w:p w14:paraId="2630CA42" w14:textId="1AE241F6" w:rsidR="00270F5F" w:rsidRDefault="00364FDD" w:rsidP="002F04B0">
      <w:pPr>
        <w:pStyle w:val="ListParagraph"/>
        <w:numPr>
          <w:ilvl w:val="0"/>
          <w:numId w:val="20"/>
        </w:numPr>
        <w:ind w:left="360"/>
        <w:rPr>
          <w:b/>
        </w:rPr>
      </w:pPr>
      <w:r>
        <w:rPr>
          <w:b/>
        </w:rPr>
        <w:t>Review commitments</w:t>
      </w:r>
    </w:p>
    <w:p w14:paraId="6A6EBBC2" w14:textId="1FFAE9F4" w:rsidR="00AC0D22" w:rsidRDefault="00AC0D22" w:rsidP="00AC0D22">
      <w:r>
        <w:t xml:space="preserve">Bill and Lisa Anh committed to work </w:t>
      </w:r>
      <w:r w:rsidR="004F411F">
        <w:t xml:space="preserve">more </w:t>
      </w:r>
      <w:r>
        <w:t>on this, coming up with a chart</w:t>
      </w:r>
      <w:r>
        <w:t xml:space="preserve"> that spells out what we think we’re walking away from today with – columns that say measurable, is there a benchmark or external comparator. Bill said that they will email that out. </w:t>
      </w:r>
      <w:r>
        <w:t xml:space="preserve"> </w:t>
      </w:r>
    </w:p>
    <w:p w14:paraId="06013E65" w14:textId="77777777" w:rsidR="00AC0D22" w:rsidRDefault="00AC0D22">
      <w:r>
        <w:br w:type="page"/>
      </w:r>
    </w:p>
    <w:p w14:paraId="3D36FB2E" w14:textId="77777777" w:rsidR="004F411F" w:rsidRDefault="004F411F" w:rsidP="00AC0D22">
      <w:pPr>
        <w:keepNext/>
        <w:keepLines/>
        <w:pBdr>
          <w:bottom w:val="single" w:sz="4" w:space="1" w:color="auto"/>
        </w:pBdr>
        <w:spacing w:before="240" w:line="259" w:lineRule="auto"/>
        <w:outlineLvl w:val="0"/>
        <w:rPr>
          <w:rFonts w:asciiTheme="majorHAnsi" w:eastAsiaTheme="majorEastAsia" w:hAnsiTheme="majorHAnsi" w:cstheme="majorBidi"/>
          <w:color w:val="2E74B5" w:themeColor="accent1" w:themeShade="BF"/>
          <w:sz w:val="32"/>
          <w:szCs w:val="32"/>
        </w:rPr>
        <w:sectPr w:rsidR="004F411F" w:rsidSect="004F411F">
          <w:footerReference w:type="default" r:id="rId7"/>
          <w:pgSz w:w="12240" w:h="15840"/>
          <w:pgMar w:top="1440" w:right="1440" w:bottom="1440" w:left="1440" w:header="720" w:footer="720" w:gutter="0"/>
          <w:cols w:space="720"/>
          <w:docGrid w:linePitch="360"/>
        </w:sectPr>
      </w:pPr>
    </w:p>
    <w:p w14:paraId="552DC8BD" w14:textId="7E988BC5" w:rsidR="00AC0D22" w:rsidRPr="00AC0D22" w:rsidRDefault="00AC0D22" w:rsidP="00AC0D22">
      <w:pPr>
        <w:keepNext/>
        <w:keepLines/>
        <w:pBdr>
          <w:bottom w:val="single" w:sz="4" w:space="1" w:color="auto"/>
        </w:pBdr>
        <w:spacing w:before="240" w:line="259" w:lineRule="auto"/>
        <w:outlineLvl w:val="0"/>
        <w:rPr>
          <w:rFonts w:asciiTheme="majorHAnsi" w:eastAsiaTheme="majorEastAsia" w:hAnsiTheme="majorHAnsi" w:cstheme="majorBidi"/>
          <w:color w:val="2E74B5" w:themeColor="accent1" w:themeShade="BF"/>
          <w:sz w:val="32"/>
          <w:szCs w:val="32"/>
        </w:rPr>
      </w:pPr>
      <w:r w:rsidRPr="00AC0D22">
        <w:rPr>
          <w:rFonts w:asciiTheme="majorHAnsi" w:eastAsiaTheme="majorEastAsia" w:hAnsiTheme="majorHAnsi" w:cstheme="majorBidi"/>
          <w:color w:val="2E74B5" w:themeColor="accent1" w:themeShade="BF"/>
          <w:sz w:val="32"/>
          <w:szCs w:val="32"/>
        </w:rPr>
        <w:t>Proposed Changes to MF Indicators</w:t>
      </w:r>
    </w:p>
    <w:p w14:paraId="587AEF3F" w14:textId="77777777" w:rsidR="00AC0D22" w:rsidRPr="00AC0D22" w:rsidRDefault="00AC0D22" w:rsidP="00AC0D22">
      <w:pPr>
        <w:spacing w:after="160" w:line="259" w:lineRule="auto"/>
      </w:pPr>
    </w:p>
    <w:p w14:paraId="7F393600" w14:textId="77777777" w:rsidR="00AC0D22" w:rsidRPr="00AC0D22" w:rsidRDefault="00AC0D22" w:rsidP="00AC0D22">
      <w:pPr>
        <w:spacing w:after="160" w:line="259" w:lineRule="auto"/>
      </w:pPr>
      <w:r w:rsidRPr="00AC0D22">
        <w:t>How to read Proposed Next Steps and Changes:</w:t>
      </w:r>
    </w:p>
    <w:p w14:paraId="50D99057" w14:textId="77777777" w:rsidR="00AC0D22" w:rsidRPr="00AC0D22" w:rsidRDefault="00AC0D22" w:rsidP="00AC0D22">
      <w:pPr>
        <w:pStyle w:val="ListParagraph"/>
        <w:numPr>
          <w:ilvl w:val="0"/>
          <w:numId w:val="41"/>
        </w:numPr>
        <w:spacing w:after="120" w:line="259" w:lineRule="auto"/>
        <w:contextualSpacing w:val="0"/>
      </w:pPr>
      <w:r w:rsidRPr="00AC0D22">
        <w:t>Regular text: suggestions from sub-group teams.</w:t>
      </w:r>
    </w:p>
    <w:p w14:paraId="45833AA3" w14:textId="77777777" w:rsidR="00AC0D22" w:rsidRPr="00AC0D22" w:rsidRDefault="00AC0D22" w:rsidP="00AC0D22">
      <w:pPr>
        <w:pStyle w:val="ListParagraph"/>
        <w:numPr>
          <w:ilvl w:val="0"/>
          <w:numId w:val="41"/>
        </w:numPr>
        <w:spacing w:after="120" w:line="259" w:lineRule="auto"/>
        <w:contextualSpacing w:val="0"/>
      </w:pPr>
      <w:r w:rsidRPr="00AC0D22">
        <w:rPr>
          <w:i/>
        </w:rPr>
        <w:t>Italicized text</w:t>
      </w:r>
      <w:r w:rsidRPr="00AC0D22">
        <w:t>: notes from IR.</w:t>
      </w:r>
    </w:p>
    <w:p w14:paraId="566D61AB" w14:textId="77777777" w:rsidR="00AC0D22" w:rsidRPr="00AC0D22" w:rsidRDefault="00AC0D22" w:rsidP="00AC0D22">
      <w:pPr>
        <w:pStyle w:val="ListParagraph"/>
        <w:numPr>
          <w:ilvl w:val="0"/>
          <w:numId w:val="41"/>
        </w:numPr>
        <w:spacing w:after="120" w:line="259" w:lineRule="auto"/>
        <w:contextualSpacing w:val="0"/>
      </w:pPr>
      <w:r w:rsidRPr="00AC0D22">
        <w:rPr>
          <w:i/>
          <w:color w:val="2E74B5" w:themeColor="accent1" w:themeShade="BF"/>
        </w:rPr>
        <w:t>Blue italicized text</w:t>
      </w:r>
      <w:r w:rsidRPr="00AC0D22">
        <w:t>: notes and decisions during 4/18 MFC meeting</w:t>
      </w:r>
    </w:p>
    <w:p w14:paraId="3D48D0E3" w14:textId="77777777" w:rsidR="00AC0D22" w:rsidRPr="00AC0D22" w:rsidRDefault="00AC0D22" w:rsidP="00AC0D22">
      <w:pPr>
        <w:spacing w:after="160" w:line="259" w:lineRule="auto"/>
      </w:pPr>
    </w:p>
    <w:p w14:paraId="2D82604B" w14:textId="77777777" w:rsidR="00AC0D22" w:rsidRPr="00AC0D22" w:rsidRDefault="00AC0D22" w:rsidP="00AC0D22">
      <w:pPr>
        <w:keepNext/>
        <w:keepLines/>
        <w:spacing w:before="40" w:line="259" w:lineRule="auto"/>
        <w:outlineLvl w:val="1"/>
        <w:rPr>
          <w:rFonts w:asciiTheme="majorHAnsi" w:eastAsiaTheme="majorEastAsia" w:hAnsiTheme="majorHAnsi" w:cstheme="majorBidi"/>
          <w:color w:val="2E74B5" w:themeColor="accent1" w:themeShade="BF"/>
          <w:sz w:val="26"/>
          <w:szCs w:val="26"/>
        </w:rPr>
      </w:pPr>
      <w:r w:rsidRPr="00AC0D22">
        <w:rPr>
          <w:rFonts w:asciiTheme="majorHAnsi" w:eastAsiaTheme="majorEastAsia" w:hAnsiTheme="majorHAnsi" w:cstheme="majorBidi"/>
          <w:color w:val="2E74B5" w:themeColor="accent1" w:themeShade="BF"/>
          <w:sz w:val="26"/>
          <w:szCs w:val="26"/>
        </w:rPr>
        <w:t>Academic Transfer</w:t>
      </w:r>
    </w:p>
    <w:tbl>
      <w:tblPr>
        <w:tblStyle w:val="TableGrid"/>
        <w:tblW w:w="5000" w:type="pct"/>
        <w:tblLook w:val="04A0" w:firstRow="1" w:lastRow="0" w:firstColumn="1" w:lastColumn="0" w:noHBand="0" w:noVBand="1"/>
      </w:tblPr>
      <w:tblGrid>
        <w:gridCol w:w="4409"/>
        <w:gridCol w:w="6381"/>
      </w:tblGrid>
      <w:tr w:rsidR="00AC0D22" w:rsidRPr="00AC0D22" w14:paraId="4971BD5B" w14:textId="77777777" w:rsidTr="00625A44">
        <w:trPr>
          <w:tblHeader/>
        </w:trPr>
        <w:tc>
          <w:tcPr>
            <w:tcW w:w="2043" w:type="pct"/>
            <w:shd w:val="clear" w:color="auto" w:fill="BDD6EE" w:themeFill="accent1" w:themeFillTint="66"/>
          </w:tcPr>
          <w:p w14:paraId="7DB4F030" w14:textId="77777777" w:rsidR="00AC0D22" w:rsidRPr="00AC0D22" w:rsidRDefault="00AC0D22" w:rsidP="00AC0D22">
            <w:pPr>
              <w:jc w:val="center"/>
              <w:rPr>
                <w:b/>
              </w:rPr>
            </w:pPr>
            <w:r w:rsidRPr="00AC0D22">
              <w:rPr>
                <w:b/>
              </w:rPr>
              <w:t>MF Indicators</w:t>
            </w:r>
          </w:p>
        </w:tc>
        <w:tc>
          <w:tcPr>
            <w:tcW w:w="2957" w:type="pct"/>
            <w:shd w:val="clear" w:color="auto" w:fill="BDD6EE" w:themeFill="accent1" w:themeFillTint="66"/>
          </w:tcPr>
          <w:p w14:paraId="216F6490" w14:textId="77777777" w:rsidR="00AC0D22" w:rsidRPr="00AC0D22" w:rsidRDefault="00AC0D22" w:rsidP="00AC0D22">
            <w:pPr>
              <w:jc w:val="center"/>
              <w:rPr>
                <w:b/>
              </w:rPr>
            </w:pPr>
            <w:r w:rsidRPr="00AC0D22">
              <w:rPr>
                <w:b/>
              </w:rPr>
              <w:t>Proposed Next Steps &amp; Changes</w:t>
            </w:r>
          </w:p>
        </w:tc>
      </w:tr>
      <w:tr w:rsidR="00AC0D22" w:rsidRPr="00AC0D22" w14:paraId="2C257163" w14:textId="77777777" w:rsidTr="00625A44">
        <w:tc>
          <w:tcPr>
            <w:tcW w:w="2043" w:type="pct"/>
          </w:tcPr>
          <w:p w14:paraId="2B7A2C1E" w14:textId="77777777" w:rsidR="00AC0D22" w:rsidRPr="00AC0D22" w:rsidRDefault="00AC0D22" w:rsidP="00AC0D22">
            <w:r w:rsidRPr="00AC0D22">
              <w:t>1.1 Credit students satisfactorily attain program learning outcomes and general education outcomes; if not, there is a documented plan for improvement.</w:t>
            </w:r>
          </w:p>
        </w:tc>
        <w:tc>
          <w:tcPr>
            <w:tcW w:w="2957" w:type="pct"/>
          </w:tcPr>
          <w:p w14:paraId="08FB4F7F" w14:textId="77777777" w:rsidR="00AC0D22" w:rsidRPr="00AC0D22" w:rsidRDefault="00AC0D22" w:rsidP="00AC0D22"/>
        </w:tc>
      </w:tr>
      <w:tr w:rsidR="00AC0D22" w:rsidRPr="00AC0D22" w14:paraId="72C1A42B" w14:textId="77777777" w:rsidTr="00625A44">
        <w:tc>
          <w:tcPr>
            <w:tcW w:w="2043" w:type="pct"/>
          </w:tcPr>
          <w:p w14:paraId="337BA9EC" w14:textId="77777777" w:rsidR="00AC0D22" w:rsidRPr="00AC0D22" w:rsidRDefault="00AC0D22" w:rsidP="00AC0D22">
            <w:r w:rsidRPr="00AC0D22">
              <w:t>1.2 Programs are engaged in the institution’s assessment cycle with identified conclusions and actions each year.</w:t>
            </w:r>
          </w:p>
        </w:tc>
        <w:tc>
          <w:tcPr>
            <w:tcW w:w="2957" w:type="pct"/>
          </w:tcPr>
          <w:p w14:paraId="2A329D19" w14:textId="77777777" w:rsidR="00AC0D22" w:rsidRPr="00AC0D22" w:rsidRDefault="00AC0D22" w:rsidP="00AC0D22"/>
        </w:tc>
      </w:tr>
      <w:tr w:rsidR="00AC0D22" w:rsidRPr="00AC0D22" w14:paraId="52E8B170" w14:textId="77777777" w:rsidTr="00625A44">
        <w:tc>
          <w:tcPr>
            <w:tcW w:w="2043" w:type="pct"/>
          </w:tcPr>
          <w:p w14:paraId="09C3E888" w14:textId="77777777" w:rsidR="00AC0D22" w:rsidRPr="00AC0D22" w:rsidRDefault="00AC0D22" w:rsidP="00AC0D22">
            <w:r w:rsidRPr="00AC0D22">
              <w:t>1.3 Students are ready to succeed at a four year school, based persistence in enrollment at a transfer institution for two terms in the first academic year of transfer.</w:t>
            </w:r>
          </w:p>
        </w:tc>
        <w:tc>
          <w:tcPr>
            <w:tcW w:w="2957" w:type="pct"/>
          </w:tcPr>
          <w:p w14:paraId="3BBC53E4" w14:textId="77777777" w:rsidR="00AC0D22" w:rsidRPr="00AC0D22" w:rsidRDefault="00AC0D22" w:rsidP="00AC0D22">
            <w:r w:rsidRPr="00AC0D22">
              <w:t>Look at PSU and OSU data for their native persistence rates to see if our established threshold is reasonable.</w:t>
            </w:r>
          </w:p>
          <w:p w14:paraId="42EB2B4B" w14:textId="77777777" w:rsidR="00AC0D22" w:rsidRPr="00AC0D22" w:rsidRDefault="00AC0D22" w:rsidP="00AC0D22">
            <w:pPr>
              <w:rPr>
                <w:i/>
              </w:rPr>
            </w:pPr>
            <w:r w:rsidRPr="00AC0D22">
              <w:rPr>
                <w:i/>
                <w:color w:val="2E74B5" w:themeColor="accent1" w:themeShade="BF"/>
              </w:rPr>
              <w:t>Challenge: persistence for two terms. Not sure how 4-years approach persistence.</w:t>
            </w:r>
          </w:p>
        </w:tc>
      </w:tr>
      <w:tr w:rsidR="00AC0D22" w:rsidRPr="00AC0D22" w14:paraId="345FA7C8" w14:textId="77777777" w:rsidTr="00625A44">
        <w:tc>
          <w:tcPr>
            <w:tcW w:w="2043" w:type="pct"/>
          </w:tcPr>
          <w:p w14:paraId="43EC03AF" w14:textId="77777777" w:rsidR="00AC0D22" w:rsidRPr="00AC0D22" w:rsidRDefault="00AC0D22" w:rsidP="00AC0D22">
            <w:r w:rsidRPr="00AC0D22">
              <w:t xml:space="preserve">1.4 Students are ready to succeed at a four year school based on </w:t>
            </w:r>
            <w:r w:rsidRPr="00AC0D22">
              <w:rPr>
                <w:i/>
              </w:rPr>
              <w:t>graduation rates at transfer institutions</w:t>
            </w:r>
            <w:r w:rsidRPr="00AC0D22">
              <w:t xml:space="preserve"> within three and six years of transfer.</w:t>
            </w:r>
          </w:p>
        </w:tc>
        <w:tc>
          <w:tcPr>
            <w:tcW w:w="2957" w:type="pct"/>
          </w:tcPr>
          <w:p w14:paraId="50561CED" w14:textId="77777777" w:rsidR="00AC0D22" w:rsidRPr="00AC0D22" w:rsidRDefault="00AC0D22" w:rsidP="00AC0D22">
            <w:r w:rsidRPr="00AC0D22">
              <w:t>For 6-year: Revise methodology to develop a cohort that matches NSC’s Signature Report methodology</w:t>
            </w:r>
          </w:p>
          <w:p w14:paraId="12A08D76" w14:textId="77777777" w:rsidR="00AC0D22" w:rsidRPr="00AC0D22" w:rsidRDefault="00AC0D22" w:rsidP="00AC0D22">
            <w:pPr>
              <w:rPr>
                <w:i/>
              </w:rPr>
            </w:pPr>
          </w:p>
        </w:tc>
      </w:tr>
      <w:tr w:rsidR="00AC0D22" w:rsidRPr="00AC0D22" w14:paraId="5A6C05FA" w14:textId="77777777" w:rsidTr="00625A44">
        <w:tc>
          <w:tcPr>
            <w:tcW w:w="2043" w:type="pct"/>
          </w:tcPr>
          <w:p w14:paraId="54B47B2C" w14:textId="77777777" w:rsidR="00AC0D22" w:rsidRPr="00AC0D22" w:rsidRDefault="00AC0D22" w:rsidP="00AC0D22">
            <w:r w:rsidRPr="00AC0D22">
              <w:t>1.5 Rates of completion at CCC and/or transfer to four year institutions within 3 or 6 years of starting at CCC.</w:t>
            </w:r>
          </w:p>
        </w:tc>
        <w:tc>
          <w:tcPr>
            <w:tcW w:w="2957" w:type="pct"/>
          </w:tcPr>
          <w:p w14:paraId="2AE626D2" w14:textId="77777777" w:rsidR="00AC0D22" w:rsidRPr="00AC0D22" w:rsidRDefault="00AC0D22" w:rsidP="00AC0D22"/>
        </w:tc>
      </w:tr>
      <w:tr w:rsidR="00AC0D22" w:rsidRPr="00AC0D22" w14:paraId="1B8D4D7B" w14:textId="77777777" w:rsidTr="00625A44">
        <w:tc>
          <w:tcPr>
            <w:tcW w:w="2043" w:type="pct"/>
          </w:tcPr>
          <w:p w14:paraId="7D2E30CB" w14:textId="77777777" w:rsidR="00AC0D22" w:rsidRPr="00AC0D22" w:rsidRDefault="00AC0D22" w:rsidP="00AC0D22">
            <w:r w:rsidRPr="00AC0D22">
              <w:t>1.6 Rates of student completion and/or transfer compared to the demographic of those likely to attend college in our service district.</w:t>
            </w:r>
          </w:p>
        </w:tc>
        <w:tc>
          <w:tcPr>
            <w:tcW w:w="2957" w:type="pct"/>
          </w:tcPr>
          <w:p w14:paraId="7012C7F1" w14:textId="77777777" w:rsidR="00AC0D22" w:rsidRPr="00AC0D22" w:rsidRDefault="00AC0D22" w:rsidP="00AC0D22"/>
        </w:tc>
      </w:tr>
    </w:tbl>
    <w:p w14:paraId="16E234F0" w14:textId="77777777" w:rsidR="00AC0D22" w:rsidRPr="00AC0D22" w:rsidRDefault="00AC0D22" w:rsidP="00AC0D22">
      <w:pPr>
        <w:spacing w:after="160" w:line="259" w:lineRule="auto"/>
        <w:rPr>
          <w:b/>
        </w:rPr>
      </w:pPr>
    </w:p>
    <w:p w14:paraId="7F159913" w14:textId="77777777" w:rsidR="00AC0D22" w:rsidRPr="00AC0D22" w:rsidRDefault="00AC0D22" w:rsidP="00AC0D22">
      <w:pPr>
        <w:spacing w:after="160" w:line="259" w:lineRule="auto"/>
        <w:rPr>
          <w:b/>
        </w:rPr>
      </w:pPr>
      <w:r w:rsidRPr="00AC0D22">
        <w:rPr>
          <w:b/>
        </w:rPr>
        <w:br w:type="page"/>
      </w:r>
      <w:bookmarkStart w:id="0" w:name="_GoBack"/>
      <w:bookmarkEnd w:id="0"/>
    </w:p>
    <w:p w14:paraId="7A9E6F73" w14:textId="77777777" w:rsidR="00AC0D22" w:rsidRPr="00AC0D22" w:rsidRDefault="00AC0D22" w:rsidP="00AC0D22">
      <w:pPr>
        <w:keepNext/>
        <w:keepLines/>
        <w:spacing w:before="40" w:line="259" w:lineRule="auto"/>
        <w:outlineLvl w:val="1"/>
        <w:rPr>
          <w:rFonts w:asciiTheme="majorHAnsi" w:eastAsiaTheme="majorEastAsia" w:hAnsiTheme="majorHAnsi" w:cstheme="majorBidi"/>
          <w:color w:val="2E74B5" w:themeColor="accent1" w:themeShade="BF"/>
          <w:sz w:val="26"/>
          <w:szCs w:val="26"/>
        </w:rPr>
      </w:pPr>
      <w:r w:rsidRPr="00AC0D22">
        <w:rPr>
          <w:rFonts w:asciiTheme="majorHAnsi" w:eastAsiaTheme="majorEastAsia" w:hAnsiTheme="majorHAnsi" w:cstheme="majorBidi"/>
          <w:color w:val="2E74B5" w:themeColor="accent1" w:themeShade="BF"/>
          <w:sz w:val="26"/>
          <w:szCs w:val="26"/>
        </w:rPr>
        <w:t>Career &amp; Technical Education</w:t>
      </w:r>
    </w:p>
    <w:tbl>
      <w:tblPr>
        <w:tblStyle w:val="TableGrid"/>
        <w:tblW w:w="5000" w:type="pct"/>
        <w:tblLook w:val="04A0" w:firstRow="1" w:lastRow="0" w:firstColumn="1" w:lastColumn="0" w:noHBand="0" w:noVBand="1"/>
      </w:tblPr>
      <w:tblGrid>
        <w:gridCol w:w="4402"/>
        <w:gridCol w:w="6388"/>
      </w:tblGrid>
      <w:tr w:rsidR="00AC0D22" w:rsidRPr="00AC0D22" w14:paraId="2F32678A" w14:textId="77777777" w:rsidTr="00625A44">
        <w:tc>
          <w:tcPr>
            <w:tcW w:w="2040" w:type="pct"/>
            <w:shd w:val="clear" w:color="auto" w:fill="B4C6E7" w:themeFill="accent5" w:themeFillTint="66"/>
          </w:tcPr>
          <w:p w14:paraId="2B26913B" w14:textId="77777777" w:rsidR="00AC0D22" w:rsidRPr="00AC0D22" w:rsidRDefault="00AC0D22" w:rsidP="00AC0D22">
            <w:pPr>
              <w:jc w:val="center"/>
              <w:rPr>
                <w:b/>
              </w:rPr>
            </w:pPr>
            <w:r w:rsidRPr="00AC0D22">
              <w:rPr>
                <w:b/>
              </w:rPr>
              <w:t>MF Indicators</w:t>
            </w:r>
          </w:p>
        </w:tc>
        <w:tc>
          <w:tcPr>
            <w:tcW w:w="2960" w:type="pct"/>
            <w:shd w:val="clear" w:color="auto" w:fill="B4C6E7" w:themeFill="accent5" w:themeFillTint="66"/>
          </w:tcPr>
          <w:p w14:paraId="019E410E" w14:textId="77777777" w:rsidR="00AC0D22" w:rsidRPr="00AC0D22" w:rsidRDefault="00AC0D22" w:rsidP="00AC0D22">
            <w:pPr>
              <w:jc w:val="center"/>
              <w:rPr>
                <w:b/>
              </w:rPr>
            </w:pPr>
            <w:r w:rsidRPr="00AC0D22">
              <w:rPr>
                <w:b/>
              </w:rPr>
              <w:t>Proposed Next Steps &amp; Changes</w:t>
            </w:r>
          </w:p>
        </w:tc>
      </w:tr>
      <w:tr w:rsidR="00AC0D22" w:rsidRPr="00AC0D22" w14:paraId="0EFE920D" w14:textId="77777777" w:rsidTr="00625A44">
        <w:tc>
          <w:tcPr>
            <w:tcW w:w="2040" w:type="pct"/>
          </w:tcPr>
          <w:p w14:paraId="3BBAEE7A" w14:textId="77777777" w:rsidR="00AC0D22" w:rsidRPr="00AC0D22" w:rsidRDefault="00AC0D22" w:rsidP="00AC0D22">
            <w:r w:rsidRPr="00AC0D22">
              <w:t>2.1 Credit students satisfactorily attain program learning and related instruction outcomes; if not, there is a documented plan for improvement.</w:t>
            </w:r>
          </w:p>
        </w:tc>
        <w:tc>
          <w:tcPr>
            <w:tcW w:w="2960" w:type="pct"/>
          </w:tcPr>
          <w:p w14:paraId="0D5B9F65" w14:textId="77777777" w:rsidR="00AC0D22" w:rsidRPr="00AC0D22" w:rsidRDefault="00AC0D22" w:rsidP="00AC0D22"/>
        </w:tc>
      </w:tr>
      <w:tr w:rsidR="00AC0D22" w:rsidRPr="00AC0D22" w14:paraId="11EF0E2E" w14:textId="77777777" w:rsidTr="00625A44">
        <w:tc>
          <w:tcPr>
            <w:tcW w:w="2040" w:type="pct"/>
          </w:tcPr>
          <w:p w14:paraId="5735C494" w14:textId="77777777" w:rsidR="00AC0D22" w:rsidRPr="00AC0D22" w:rsidRDefault="00AC0D22" w:rsidP="00AC0D22">
            <w:r w:rsidRPr="00AC0D22">
              <w:t>2.2 Programs are engaged in CCC’s assessment cycle with identified conclusions and actions each year</w:t>
            </w:r>
          </w:p>
        </w:tc>
        <w:tc>
          <w:tcPr>
            <w:tcW w:w="2960" w:type="pct"/>
          </w:tcPr>
          <w:p w14:paraId="44C34306" w14:textId="77777777" w:rsidR="00AC0D22" w:rsidRPr="00AC0D22" w:rsidRDefault="00AC0D22" w:rsidP="00AC0D22"/>
        </w:tc>
      </w:tr>
      <w:tr w:rsidR="00AC0D22" w:rsidRPr="00AC0D22" w14:paraId="15A73AA3" w14:textId="77777777" w:rsidTr="00625A44">
        <w:tc>
          <w:tcPr>
            <w:tcW w:w="2040" w:type="pct"/>
          </w:tcPr>
          <w:p w14:paraId="1AFFBBC0" w14:textId="77777777" w:rsidR="00AC0D22" w:rsidRPr="00AC0D22" w:rsidRDefault="00AC0D22" w:rsidP="00AC0D22">
            <w:r w:rsidRPr="00AC0D22">
              <w:t>2.3 CTE student cohort rates of completion at CCC within three and six years.</w:t>
            </w:r>
          </w:p>
        </w:tc>
        <w:tc>
          <w:tcPr>
            <w:tcW w:w="2960" w:type="pct"/>
          </w:tcPr>
          <w:p w14:paraId="5FD281B3" w14:textId="77777777" w:rsidR="00AC0D22" w:rsidRPr="00AC0D22" w:rsidRDefault="00AC0D22" w:rsidP="00AC0D22">
            <w:r w:rsidRPr="00AC0D22">
              <w:t>Current methodology looks at students with program of intent of CC or AAS.</w:t>
            </w:r>
          </w:p>
          <w:p w14:paraId="29C69EC6" w14:textId="77777777" w:rsidR="00AC0D22" w:rsidRPr="00AC0D22" w:rsidRDefault="00AC0D22" w:rsidP="00AC0D22">
            <w:r w:rsidRPr="00AC0D22">
              <w:t>Proposed change: look at Perkins CTE Concentrator definition to develop a different cohort—students enrolled for credit and completed 18+ program credits within a single program that leads to a degree or certificate.</w:t>
            </w:r>
          </w:p>
          <w:p w14:paraId="43C5D73D" w14:textId="77777777" w:rsidR="00AC0D22" w:rsidRPr="00AC0D22" w:rsidRDefault="00AC0D22" w:rsidP="00AC0D22"/>
          <w:p w14:paraId="17DF19AD" w14:textId="77777777" w:rsidR="00AC0D22" w:rsidRPr="00AC0D22" w:rsidRDefault="00AC0D22" w:rsidP="00AC0D22">
            <w:pPr>
              <w:rPr>
                <w:i/>
              </w:rPr>
            </w:pPr>
            <w:r w:rsidRPr="00AC0D22">
              <w:rPr>
                <w:i/>
              </w:rPr>
              <w:t>Perkins is reported by HECC using D4A Student Yearly file. For this reporting, CCC submits:</w:t>
            </w:r>
          </w:p>
          <w:p w14:paraId="64E8C582" w14:textId="77777777" w:rsidR="00AC0D22" w:rsidRPr="00AC0D22" w:rsidRDefault="00AC0D22" w:rsidP="00AC0D22">
            <w:pPr>
              <w:rPr>
                <w:i/>
              </w:rPr>
            </w:pPr>
            <w:r w:rsidRPr="00AC0D22">
              <w:rPr>
                <w:i/>
              </w:rPr>
              <w:t xml:space="preserve">-Cumulative CORE credits: total number of cumulative CORE credits earned towards </w:t>
            </w:r>
            <w:r w:rsidRPr="00AC0D22">
              <w:rPr>
                <w:i/>
                <w:u w:val="single"/>
              </w:rPr>
              <w:t>declared major</w:t>
            </w:r>
            <w:r w:rsidRPr="00AC0D22">
              <w:rPr>
                <w:i/>
              </w:rPr>
              <w:t xml:space="preserve"> (at this institution). CORE credits are credits for courses that are required (specifically named) courses in the degree or certificate program indicated by the student's reported major in the Student file.</w:t>
            </w:r>
          </w:p>
          <w:p w14:paraId="50EDE6E4" w14:textId="77777777" w:rsidR="00AC0D22" w:rsidRPr="00AC0D22" w:rsidRDefault="00AC0D22" w:rsidP="00AC0D22">
            <w:pPr>
              <w:rPr>
                <w:i/>
              </w:rPr>
            </w:pPr>
            <w:r w:rsidRPr="00AC0D22">
              <w:rPr>
                <w:i/>
              </w:rPr>
              <w:t xml:space="preserve">-Cumulative PROGRAM credits: total number of PROGRAM credits earned towards a </w:t>
            </w:r>
            <w:r w:rsidRPr="00AC0D22">
              <w:rPr>
                <w:i/>
                <w:u w:val="single"/>
              </w:rPr>
              <w:t>declared major</w:t>
            </w:r>
            <w:r w:rsidRPr="00AC0D22">
              <w:rPr>
                <w:i/>
              </w:rPr>
              <w:t>.  Program credits are any (required or elective) credits which can be applied towards the certificate or degree indicated by the student's major as reported in the Student file for the associated academic year, and includes transferred credits.</w:t>
            </w:r>
          </w:p>
          <w:p w14:paraId="51BF8A6D" w14:textId="77777777" w:rsidR="00AC0D22" w:rsidRPr="00AC0D22" w:rsidRDefault="00AC0D22" w:rsidP="00AC0D22">
            <w:pPr>
              <w:rPr>
                <w:i/>
              </w:rPr>
            </w:pPr>
          </w:p>
          <w:p w14:paraId="3C2E4A05" w14:textId="77777777" w:rsidR="00AC0D22" w:rsidRPr="00AC0D22" w:rsidRDefault="00AC0D22" w:rsidP="00AC0D22">
            <w:pPr>
              <w:rPr>
                <w:i/>
                <w:color w:val="2E74B5" w:themeColor="accent1" w:themeShade="BF"/>
              </w:rPr>
            </w:pPr>
            <w:r w:rsidRPr="00AC0D22">
              <w:rPr>
                <w:i/>
                <w:color w:val="2E74B5" w:themeColor="accent1" w:themeShade="BF"/>
              </w:rPr>
              <w:t>Keep to using intent data for establishing cohort. Look at Perkins, VFA, other national data to inform threshold.</w:t>
            </w:r>
          </w:p>
          <w:p w14:paraId="56DA7429" w14:textId="77777777" w:rsidR="00AC0D22" w:rsidRPr="00AC0D22" w:rsidRDefault="00AC0D22" w:rsidP="00AC0D22">
            <w:pPr>
              <w:rPr>
                <w:i/>
              </w:rPr>
            </w:pPr>
          </w:p>
        </w:tc>
      </w:tr>
      <w:tr w:rsidR="00AC0D22" w:rsidRPr="00AC0D22" w14:paraId="4FE59DE0" w14:textId="77777777" w:rsidTr="00625A44">
        <w:tc>
          <w:tcPr>
            <w:tcW w:w="2040" w:type="pct"/>
          </w:tcPr>
          <w:p w14:paraId="4B814EB7" w14:textId="77777777" w:rsidR="00AC0D22" w:rsidRPr="00AC0D22" w:rsidRDefault="00AC0D22" w:rsidP="00AC0D22">
            <w:r w:rsidRPr="00AC0D22">
              <w:t xml:space="preserve">2.4 CTE student cohort rates of attainment of </w:t>
            </w:r>
            <w:r w:rsidRPr="00AC0D22">
              <w:rPr>
                <w:i/>
              </w:rPr>
              <w:t>High CTE Credit Threshold</w:t>
            </w:r>
            <w:r w:rsidRPr="00AC0D22">
              <w:t xml:space="preserve"> (50% or more of CTE credits relative to intent) within three and six years.</w:t>
            </w:r>
          </w:p>
        </w:tc>
        <w:tc>
          <w:tcPr>
            <w:tcW w:w="2960" w:type="pct"/>
          </w:tcPr>
          <w:p w14:paraId="3AB5919B" w14:textId="77777777" w:rsidR="00AC0D22" w:rsidRPr="00AC0D22" w:rsidRDefault="00AC0D22" w:rsidP="00AC0D22">
            <w:r w:rsidRPr="00AC0D22">
              <w:t>Same as 2.3: Current methodology looks at students with program of intent of CC or AAS.</w:t>
            </w:r>
          </w:p>
          <w:p w14:paraId="629FB9F4" w14:textId="77777777" w:rsidR="00AC0D22" w:rsidRPr="00AC0D22" w:rsidRDefault="00AC0D22" w:rsidP="00AC0D22">
            <w:r w:rsidRPr="00AC0D22">
              <w:t>Proposed change: look at Perkins CTE Concentrator definition to develop a different cohort—students enrolled for credit and completed 18+ program credits within a single program that leads to a degree or certificate.</w:t>
            </w:r>
          </w:p>
          <w:p w14:paraId="24ADACE5" w14:textId="77777777" w:rsidR="00AC0D22" w:rsidRPr="00AC0D22" w:rsidRDefault="00AC0D22" w:rsidP="00AC0D22">
            <w:r w:rsidRPr="00AC0D22">
              <w:rPr>
                <w:i/>
                <w:color w:val="2E74B5" w:themeColor="accent1" w:themeShade="BF"/>
              </w:rPr>
              <w:t>Keep to using intent data for establishing cohort.</w:t>
            </w:r>
          </w:p>
          <w:p w14:paraId="35CE8C35" w14:textId="77777777" w:rsidR="00AC0D22" w:rsidRPr="00AC0D22" w:rsidRDefault="00AC0D22" w:rsidP="00AC0D22"/>
        </w:tc>
      </w:tr>
      <w:tr w:rsidR="00AC0D22" w:rsidRPr="00AC0D22" w14:paraId="5CDB20BB" w14:textId="77777777" w:rsidTr="00625A44">
        <w:tc>
          <w:tcPr>
            <w:tcW w:w="2040" w:type="pct"/>
          </w:tcPr>
          <w:p w14:paraId="36E6854C" w14:textId="77777777" w:rsidR="00AC0D22" w:rsidRPr="00AC0D22" w:rsidRDefault="00AC0D22" w:rsidP="00AC0D22">
            <w:r w:rsidRPr="00AC0D22">
              <w:t>2.5 Rates of CCC CTE AAS/Certificate graduates employed 2</w:t>
            </w:r>
            <w:r w:rsidRPr="00AC0D22">
              <w:rPr>
                <w:vertAlign w:val="superscript"/>
              </w:rPr>
              <w:t>nd</w:t>
            </w:r>
            <w:r w:rsidRPr="00AC0D22">
              <w:t xml:space="preserve"> and 4</w:t>
            </w:r>
            <w:r w:rsidRPr="00AC0D22">
              <w:rPr>
                <w:vertAlign w:val="superscript"/>
              </w:rPr>
              <w:t>th</w:t>
            </w:r>
            <w:r w:rsidRPr="00AC0D22">
              <w:t xml:space="preserve"> quarter after exiting program.</w:t>
            </w:r>
          </w:p>
        </w:tc>
        <w:tc>
          <w:tcPr>
            <w:tcW w:w="2960" w:type="pct"/>
          </w:tcPr>
          <w:p w14:paraId="4494962B" w14:textId="77777777" w:rsidR="00AC0D22" w:rsidRPr="00AC0D22" w:rsidRDefault="00AC0D22" w:rsidP="00AC0D22">
            <w:r w:rsidRPr="00AC0D22">
              <w:t>At 2</w:t>
            </w:r>
            <w:r w:rsidRPr="00AC0D22">
              <w:rPr>
                <w:vertAlign w:val="superscript"/>
              </w:rPr>
              <w:t>nd</w:t>
            </w:r>
            <w:r w:rsidRPr="00AC0D22">
              <w:t xml:space="preserve"> quarter and at 4</w:t>
            </w:r>
            <w:r w:rsidRPr="00AC0D22">
              <w:rPr>
                <w:vertAlign w:val="superscript"/>
              </w:rPr>
              <w:t>th</w:t>
            </w:r>
            <w:r w:rsidRPr="00AC0D22">
              <w:t xml:space="preserve"> quarter.</w:t>
            </w:r>
          </w:p>
          <w:p w14:paraId="1351B622" w14:textId="77777777" w:rsidR="00AC0D22" w:rsidRPr="00AC0D22" w:rsidRDefault="00AC0D22" w:rsidP="00AC0D22">
            <w:pPr>
              <w:rPr>
                <w:i/>
              </w:rPr>
            </w:pPr>
          </w:p>
          <w:p w14:paraId="40C4E6E8" w14:textId="77777777" w:rsidR="00AC0D22" w:rsidRPr="00AC0D22" w:rsidRDefault="00AC0D22" w:rsidP="00AC0D22">
            <w:pPr>
              <w:rPr>
                <w:i/>
              </w:rPr>
            </w:pPr>
            <w:r w:rsidRPr="00AC0D22">
              <w:rPr>
                <w:i/>
                <w:color w:val="2E74B5" w:themeColor="accent1" w:themeShade="BF"/>
              </w:rPr>
              <w:t>Check WIOA data. Refer to external data to inform threshold (e.g., same threshold for 2</w:t>
            </w:r>
            <w:r w:rsidRPr="00AC0D22">
              <w:rPr>
                <w:i/>
                <w:color w:val="2E74B5" w:themeColor="accent1" w:themeShade="BF"/>
                <w:vertAlign w:val="superscript"/>
              </w:rPr>
              <w:t>nd</w:t>
            </w:r>
            <w:r w:rsidRPr="00AC0D22">
              <w:rPr>
                <w:i/>
                <w:color w:val="2E74B5" w:themeColor="accent1" w:themeShade="BF"/>
              </w:rPr>
              <w:t xml:space="preserve"> and 4</w:t>
            </w:r>
            <w:r w:rsidRPr="00AC0D22">
              <w:rPr>
                <w:i/>
                <w:color w:val="2E74B5" w:themeColor="accent1" w:themeShade="BF"/>
                <w:vertAlign w:val="superscript"/>
              </w:rPr>
              <w:t>th</w:t>
            </w:r>
            <w:r w:rsidRPr="00AC0D22">
              <w:rPr>
                <w:i/>
                <w:color w:val="2E74B5" w:themeColor="accent1" w:themeShade="BF"/>
              </w:rPr>
              <w:t xml:space="preserve"> quarter)</w:t>
            </w:r>
          </w:p>
        </w:tc>
      </w:tr>
      <w:tr w:rsidR="00AC0D22" w:rsidRPr="00AC0D22" w14:paraId="3D2AB163" w14:textId="77777777" w:rsidTr="00625A44">
        <w:tc>
          <w:tcPr>
            <w:tcW w:w="2040" w:type="pct"/>
          </w:tcPr>
          <w:p w14:paraId="5D838697" w14:textId="77777777" w:rsidR="00AC0D22" w:rsidRPr="00AC0D22" w:rsidRDefault="00AC0D22" w:rsidP="00AC0D22">
            <w:r w:rsidRPr="00AC0D22">
              <w:t xml:space="preserve">2.6 CCC CTE graduates and </w:t>
            </w:r>
            <w:r w:rsidRPr="00AC0D22">
              <w:rPr>
                <w:i/>
              </w:rPr>
              <w:t>High CTE Credit Threshold Completers</w:t>
            </w:r>
            <w:r w:rsidRPr="00AC0D22">
              <w:t xml:space="preserve"> achieving employment within one year of leaving CCC.</w:t>
            </w:r>
          </w:p>
        </w:tc>
        <w:tc>
          <w:tcPr>
            <w:tcW w:w="2960" w:type="pct"/>
          </w:tcPr>
          <w:p w14:paraId="19CF34D6" w14:textId="77777777" w:rsidR="00AC0D22" w:rsidRPr="00AC0D22" w:rsidRDefault="00AC0D22" w:rsidP="00AC0D22"/>
        </w:tc>
      </w:tr>
      <w:tr w:rsidR="00AC0D22" w:rsidRPr="00AC0D22" w14:paraId="0FB9B0A4" w14:textId="77777777" w:rsidTr="00625A44">
        <w:tc>
          <w:tcPr>
            <w:tcW w:w="2040" w:type="pct"/>
          </w:tcPr>
          <w:p w14:paraId="29E3ECEC" w14:textId="77777777" w:rsidR="00AC0D22" w:rsidRPr="00AC0D22" w:rsidRDefault="00AC0D22" w:rsidP="00AC0D22">
            <w:r w:rsidRPr="00AC0D22">
              <w:t xml:space="preserve">2.7 CTE learners reflect the demographics of those likely to attend college in our service district. </w:t>
            </w:r>
          </w:p>
        </w:tc>
        <w:tc>
          <w:tcPr>
            <w:tcW w:w="2960" w:type="pct"/>
          </w:tcPr>
          <w:p w14:paraId="2804D7ED" w14:textId="77777777" w:rsidR="00AC0D22" w:rsidRPr="00AC0D22" w:rsidRDefault="00AC0D22" w:rsidP="00AC0D22">
            <w:r w:rsidRPr="00AC0D22">
              <w:t>ACCESS to be a Strategic Priority instead</w:t>
            </w:r>
          </w:p>
          <w:p w14:paraId="5CDC6FCB" w14:textId="77777777" w:rsidR="00AC0D22" w:rsidRPr="00AC0D22" w:rsidRDefault="00AC0D22" w:rsidP="00AC0D22">
            <w:pPr>
              <w:rPr>
                <w:i/>
              </w:rPr>
            </w:pPr>
            <w:r w:rsidRPr="00AC0D22">
              <w:rPr>
                <w:i/>
                <w:color w:val="2E74B5" w:themeColor="accent1" w:themeShade="BF"/>
              </w:rPr>
              <w:t>Leave as is.</w:t>
            </w:r>
          </w:p>
        </w:tc>
      </w:tr>
    </w:tbl>
    <w:p w14:paraId="61BA3AA6" w14:textId="77777777" w:rsidR="00AC0D22" w:rsidRPr="00AC0D22" w:rsidRDefault="00AC0D22" w:rsidP="00AC0D22">
      <w:pPr>
        <w:keepNext/>
        <w:keepLines/>
        <w:spacing w:before="40" w:line="259" w:lineRule="auto"/>
        <w:outlineLvl w:val="1"/>
        <w:rPr>
          <w:rFonts w:asciiTheme="majorHAnsi" w:eastAsiaTheme="majorEastAsia" w:hAnsiTheme="majorHAnsi" w:cstheme="majorBidi"/>
          <w:color w:val="2E74B5" w:themeColor="accent1" w:themeShade="BF"/>
          <w:sz w:val="26"/>
          <w:szCs w:val="26"/>
        </w:rPr>
      </w:pPr>
      <w:r w:rsidRPr="00AC0D22">
        <w:rPr>
          <w:rFonts w:asciiTheme="majorHAnsi" w:eastAsiaTheme="majorEastAsia" w:hAnsiTheme="majorHAnsi" w:cstheme="majorBidi"/>
          <w:color w:val="2E74B5" w:themeColor="accent1" w:themeShade="BF"/>
          <w:sz w:val="26"/>
          <w:szCs w:val="26"/>
        </w:rPr>
        <w:br w:type="page"/>
        <w:t>Essential Skills</w:t>
      </w:r>
    </w:p>
    <w:tbl>
      <w:tblPr>
        <w:tblStyle w:val="TableGrid"/>
        <w:tblW w:w="5000" w:type="pct"/>
        <w:tblLook w:val="04A0" w:firstRow="1" w:lastRow="0" w:firstColumn="1" w:lastColumn="0" w:noHBand="0" w:noVBand="1"/>
      </w:tblPr>
      <w:tblGrid>
        <w:gridCol w:w="4404"/>
        <w:gridCol w:w="6386"/>
      </w:tblGrid>
      <w:tr w:rsidR="00AC0D22" w:rsidRPr="00AC0D22" w14:paraId="60AC489B" w14:textId="77777777" w:rsidTr="00625A44">
        <w:tc>
          <w:tcPr>
            <w:tcW w:w="2041" w:type="pct"/>
            <w:shd w:val="clear" w:color="auto" w:fill="B4C6E7" w:themeFill="accent5" w:themeFillTint="66"/>
          </w:tcPr>
          <w:p w14:paraId="4068DF8D" w14:textId="77777777" w:rsidR="00AC0D22" w:rsidRPr="00AC0D22" w:rsidRDefault="00AC0D22" w:rsidP="00AC0D22">
            <w:pPr>
              <w:jc w:val="center"/>
              <w:rPr>
                <w:b/>
              </w:rPr>
            </w:pPr>
            <w:r w:rsidRPr="00AC0D22">
              <w:rPr>
                <w:b/>
              </w:rPr>
              <w:t>MF Indicators</w:t>
            </w:r>
          </w:p>
        </w:tc>
        <w:tc>
          <w:tcPr>
            <w:tcW w:w="2959" w:type="pct"/>
            <w:shd w:val="clear" w:color="auto" w:fill="B4C6E7" w:themeFill="accent5" w:themeFillTint="66"/>
          </w:tcPr>
          <w:p w14:paraId="1254F79F" w14:textId="77777777" w:rsidR="00AC0D22" w:rsidRPr="00AC0D22" w:rsidRDefault="00AC0D22" w:rsidP="00AC0D22">
            <w:pPr>
              <w:jc w:val="center"/>
              <w:rPr>
                <w:b/>
              </w:rPr>
            </w:pPr>
            <w:r w:rsidRPr="00AC0D22">
              <w:rPr>
                <w:b/>
              </w:rPr>
              <w:t>Proposed Next Steps &amp; Changes</w:t>
            </w:r>
          </w:p>
        </w:tc>
      </w:tr>
      <w:tr w:rsidR="00AC0D22" w:rsidRPr="00AC0D22" w14:paraId="2CEBA8BE" w14:textId="77777777" w:rsidTr="00625A44">
        <w:tc>
          <w:tcPr>
            <w:tcW w:w="2041" w:type="pct"/>
          </w:tcPr>
          <w:p w14:paraId="4C6A44D7" w14:textId="77777777" w:rsidR="00AC0D22" w:rsidRPr="00AC0D22" w:rsidRDefault="00AC0D22" w:rsidP="00AC0D22">
            <w:r w:rsidRPr="00AC0D22">
              <w:t>3.1 The percentage of developmental education students in first-time cohort who take and complete writing and math levels required for their degree/certificate intent.</w:t>
            </w:r>
          </w:p>
        </w:tc>
        <w:tc>
          <w:tcPr>
            <w:tcW w:w="2959" w:type="pct"/>
          </w:tcPr>
          <w:p w14:paraId="23DFC07A" w14:textId="77777777" w:rsidR="00AC0D22" w:rsidRPr="00AC0D22" w:rsidRDefault="00AC0D22" w:rsidP="00AC0D22">
            <w:r w:rsidRPr="00AC0D22">
              <w:t>Use VFA measure “Percent of students who became college ready”, which is used for Strategic Priority College Readiness.</w:t>
            </w:r>
          </w:p>
          <w:p w14:paraId="59E7D007" w14:textId="77777777" w:rsidR="00AC0D22" w:rsidRPr="00AC0D22" w:rsidRDefault="00AC0D22" w:rsidP="00AC0D22"/>
          <w:p w14:paraId="2D246FDD" w14:textId="77777777" w:rsidR="00AC0D22" w:rsidRPr="00AC0D22" w:rsidRDefault="00AC0D22" w:rsidP="00AC0D22">
            <w:pPr>
              <w:rPr>
                <w:i/>
              </w:rPr>
            </w:pPr>
            <w:r w:rsidRPr="00AC0D22">
              <w:rPr>
                <w:i/>
              </w:rPr>
              <w:t xml:space="preserve">Data is available for both Math and English, and can be disaggregated by demographics. </w:t>
            </w:r>
          </w:p>
          <w:p w14:paraId="69E44A86" w14:textId="77777777" w:rsidR="00AC0D22" w:rsidRPr="00AC0D22" w:rsidRDefault="00AC0D22" w:rsidP="00AC0D22">
            <w:pPr>
              <w:rPr>
                <w:i/>
              </w:rPr>
            </w:pPr>
            <w:r w:rsidRPr="00AC0D22">
              <w:rPr>
                <w:i/>
              </w:rPr>
              <w:t>SP Indicator: College Ready within 1 year (leading)</w:t>
            </w:r>
          </w:p>
          <w:p w14:paraId="760BDD54" w14:textId="77777777" w:rsidR="00AC0D22" w:rsidRPr="00AC0D22" w:rsidRDefault="00AC0D22" w:rsidP="00AC0D22">
            <w:pPr>
              <w:rPr>
                <w:i/>
              </w:rPr>
            </w:pPr>
            <w:r w:rsidRPr="00AC0D22">
              <w:rPr>
                <w:i/>
              </w:rPr>
              <w:t>MF Indicator: College Ready within 2 years (lagging)</w:t>
            </w:r>
          </w:p>
          <w:p w14:paraId="4036D9E0" w14:textId="77777777" w:rsidR="00AC0D22" w:rsidRPr="00AC0D22" w:rsidRDefault="00AC0D22" w:rsidP="00AC0D22">
            <w:pPr>
              <w:rPr>
                <w:i/>
                <w:color w:val="2E74B5" w:themeColor="accent1" w:themeShade="BF"/>
              </w:rPr>
            </w:pPr>
            <w:r w:rsidRPr="00AC0D22">
              <w:rPr>
                <w:i/>
                <w:color w:val="2E74B5" w:themeColor="accent1" w:themeShade="BF"/>
              </w:rPr>
              <w:t>Use VFA data.</w:t>
            </w:r>
          </w:p>
          <w:p w14:paraId="135131AE" w14:textId="77777777" w:rsidR="00AC0D22" w:rsidRPr="00AC0D22" w:rsidRDefault="00AC0D22" w:rsidP="00AC0D22">
            <w:pPr>
              <w:rPr>
                <w:i/>
              </w:rPr>
            </w:pPr>
          </w:p>
        </w:tc>
      </w:tr>
      <w:tr w:rsidR="00AC0D22" w:rsidRPr="00AC0D22" w14:paraId="7DC85FA6" w14:textId="77777777" w:rsidTr="00625A44">
        <w:tc>
          <w:tcPr>
            <w:tcW w:w="2041" w:type="pct"/>
          </w:tcPr>
          <w:p w14:paraId="67B55444" w14:textId="77777777" w:rsidR="00AC0D22" w:rsidRPr="00AC0D22" w:rsidRDefault="00AC0D22" w:rsidP="00AC0D22">
            <w:r w:rsidRPr="00AC0D22">
              <w:t xml:space="preserve">3.2 Rates of educational functional </w:t>
            </w:r>
            <w:hyperlink r:id="rId8" w:history="1">
              <w:r w:rsidRPr="00AC0D22">
                <w:t>literacy gains for ESL students</w:t>
              </w:r>
            </w:hyperlink>
            <w:r w:rsidRPr="00AC0D22">
              <w:t>.</w:t>
            </w:r>
          </w:p>
          <w:p w14:paraId="326EAD57" w14:textId="77777777" w:rsidR="00AC0D22" w:rsidRPr="00AC0D22" w:rsidRDefault="00AC0D22" w:rsidP="00AC0D22"/>
          <w:p w14:paraId="5AFCA704" w14:textId="77777777" w:rsidR="00AC0D22" w:rsidRPr="00AC0D22" w:rsidRDefault="00AC0D22" w:rsidP="00AC0D22"/>
        </w:tc>
        <w:tc>
          <w:tcPr>
            <w:tcW w:w="2959" w:type="pct"/>
          </w:tcPr>
          <w:p w14:paraId="29A01813" w14:textId="77777777" w:rsidR="00AC0D22" w:rsidRPr="00AC0D22" w:rsidRDefault="00AC0D22" w:rsidP="00AC0D22">
            <w:pPr>
              <w:rPr>
                <w:i/>
              </w:rPr>
            </w:pPr>
            <w:r w:rsidRPr="00AC0D22">
              <w:t xml:space="preserve">Suggested wording change in the Target/Scoring column to “At or above in 2 or more of the 6 Educational Functional Levels compared to </w:t>
            </w:r>
            <w:r w:rsidRPr="00AC0D22">
              <w:rPr>
                <w:u w:val="single"/>
              </w:rPr>
              <w:t>state target</w:t>
            </w:r>
            <w:r w:rsidRPr="00AC0D22">
              <w:t>.”</w:t>
            </w:r>
          </w:p>
        </w:tc>
      </w:tr>
      <w:tr w:rsidR="00AC0D22" w:rsidRPr="00AC0D22" w14:paraId="74E84127" w14:textId="77777777" w:rsidTr="00625A44">
        <w:tc>
          <w:tcPr>
            <w:tcW w:w="2041" w:type="pct"/>
          </w:tcPr>
          <w:p w14:paraId="0B0A5FD7" w14:textId="77777777" w:rsidR="00AC0D22" w:rsidRPr="00AC0D22" w:rsidRDefault="00AC0D22" w:rsidP="00AC0D22">
            <w:r w:rsidRPr="00AC0D22">
              <w:t xml:space="preserve">3.3 Rates of educational functional </w:t>
            </w:r>
            <w:hyperlink r:id="rId9" w:history="1">
              <w:r w:rsidRPr="00AC0D22">
                <w:t>literacy gains for adult basic education and GED</w:t>
              </w:r>
            </w:hyperlink>
            <w:r w:rsidRPr="00AC0D22">
              <w:t xml:space="preserve"> students.</w:t>
            </w:r>
          </w:p>
          <w:p w14:paraId="280B6A63" w14:textId="77777777" w:rsidR="00AC0D22" w:rsidRPr="00AC0D22" w:rsidRDefault="00AC0D22" w:rsidP="00AC0D22"/>
          <w:p w14:paraId="58FD230B" w14:textId="77777777" w:rsidR="00AC0D22" w:rsidRPr="00AC0D22" w:rsidRDefault="00AC0D22" w:rsidP="00AC0D22"/>
        </w:tc>
        <w:tc>
          <w:tcPr>
            <w:tcW w:w="2959" w:type="pct"/>
          </w:tcPr>
          <w:p w14:paraId="023636FD" w14:textId="77777777" w:rsidR="00AC0D22" w:rsidRPr="00AC0D22" w:rsidRDefault="00AC0D22" w:rsidP="00AC0D22"/>
        </w:tc>
      </w:tr>
      <w:tr w:rsidR="00AC0D22" w:rsidRPr="00AC0D22" w14:paraId="7D505716" w14:textId="77777777" w:rsidTr="00625A44">
        <w:tc>
          <w:tcPr>
            <w:tcW w:w="2041" w:type="pct"/>
          </w:tcPr>
          <w:p w14:paraId="0D186CAF" w14:textId="77777777" w:rsidR="00AC0D22" w:rsidRPr="00AC0D22" w:rsidRDefault="00AC0D22" w:rsidP="00AC0D22">
            <w:r w:rsidRPr="00AC0D22">
              <w:t>3.4 Completion rates of adult high school diploma students within one year.</w:t>
            </w:r>
          </w:p>
          <w:p w14:paraId="7D0E352F" w14:textId="77777777" w:rsidR="00AC0D22" w:rsidRPr="00AC0D22" w:rsidRDefault="00AC0D22" w:rsidP="00AC0D22"/>
          <w:p w14:paraId="251B5472" w14:textId="77777777" w:rsidR="00AC0D22" w:rsidRPr="00AC0D22" w:rsidRDefault="00AC0D22" w:rsidP="00AC0D22"/>
        </w:tc>
        <w:tc>
          <w:tcPr>
            <w:tcW w:w="2959" w:type="pct"/>
          </w:tcPr>
          <w:p w14:paraId="2483635F" w14:textId="77777777" w:rsidR="00AC0D22" w:rsidRPr="00AC0D22" w:rsidRDefault="00AC0D22" w:rsidP="00AC0D22">
            <w:r w:rsidRPr="00AC0D22">
              <w:t>Change the within one year to two years.</w:t>
            </w:r>
          </w:p>
          <w:p w14:paraId="5F87F1B3" w14:textId="77777777" w:rsidR="00AC0D22" w:rsidRPr="00AC0D22" w:rsidRDefault="00AC0D22" w:rsidP="00AC0D22">
            <w:pPr>
              <w:rPr>
                <w:i/>
              </w:rPr>
            </w:pPr>
            <w:r w:rsidRPr="00AC0D22">
              <w:rPr>
                <w:i/>
              </w:rPr>
              <w:t>This has been done already.</w:t>
            </w:r>
          </w:p>
        </w:tc>
      </w:tr>
      <w:tr w:rsidR="00AC0D22" w:rsidRPr="00AC0D22" w14:paraId="03566D4D" w14:textId="77777777" w:rsidTr="00625A44">
        <w:tc>
          <w:tcPr>
            <w:tcW w:w="2041" w:type="pct"/>
          </w:tcPr>
          <w:p w14:paraId="0E29D8E3" w14:textId="77777777" w:rsidR="00AC0D22" w:rsidRPr="00AC0D22" w:rsidRDefault="00AC0D22" w:rsidP="00AC0D22">
            <w:r w:rsidRPr="00AC0D22">
              <w:t xml:space="preserve">3.5 The rate at which the ABE/GED/AHS </w:t>
            </w:r>
            <w:hyperlink r:id="rId10" w:history="1">
              <w:r w:rsidRPr="00AC0D22">
                <w:t>students transition to postsecondary</w:t>
              </w:r>
            </w:hyperlink>
            <w:r w:rsidRPr="00AC0D22">
              <w:t xml:space="preserve"> education or training (at least one credit).</w:t>
            </w:r>
          </w:p>
        </w:tc>
        <w:tc>
          <w:tcPr>
            <w:tcW w:w="2959" w:type="pct"/>
          </w:tcPr>
          <w:p w14:paraId="76723389" w14:textId="77777777" w:rsidR="00AC0D22" w:rsidRPr="00AC0D22" w:rsidRDefault="00AC0D22" w:rsidP="00AC0D22">
            <w:r w:rsidRPr="00AC0D22">
              <w:t>This indicator data for ABE/GED/AHS comes from HECC (Transition to Postsecondary measure part of Title 2 Adult Basic Skills under Workforce Investment Act (WIA).</w:t>
            </w:r>
          </w:p>
          <w:p w14:paraId="162FFC05" w14:textId="77777777" w:rsidR="00AC0D22" w:rsidRPr="00AC0D22" w:rsidRDefault="00AC0D22" w:rsidP="00AC0D22"/>
          <w:p w14:paraId="49E3F8FF" w14:textId="77777777" w:rsidR="00AC0D22" w:rsidRPr="00AC0D22" w:rsidRDefault="00AC0D22" w:rsidP="00AC0D22">
            <w:r w:rsidRPr="00AC0D22">
              <w:t>HECC now uses the Workforce Innovation and Opportunity Act (WIOA) performance measures for Title 2, which does not track transition but now tracks “credential attainment” (secondary credential and postsecondary credential)</w:t>
            </w:r>
          </w:p>
          <w:p w14:paraId="49D43CC8" w14:textId="77777777" w:rsidR="00AC0D22" w:rsidRPr="00AC0D22" w:rsidRDefault="00AC0D22" w:rsidP="00AC0D22"/>
          <w:p w14:paraId="6E2C9EF1" w14:textId="77777777" w:rsidR="00AC0D22" w:rsidRPr="00AC0D22" w:rsidRDefault="00AC0D22" w:rsidP="00AC0D22">
            <w:pPr>
              <w:rPr>
                <w:i/>
              </w:rPr>
            </w:pPr>
            <w:r w:rsidRPr="00AC0D22">
              <w:rPr>
                <w:i/>
              </w:rPr>
              <w:t xml:space="preserve">Change indicator to focus on credential attainment or consider using VFA ABE measures. </w:t>
            </w:r>
          </w:p>
          <w:p w14:paraId="40DA7F08" w14:textId="77777777" w:rsidR="00AC0D22" w:rsidRPr="00AC0D22" w:rsidRDefault="00AC0D22" w:rsidP="00AC0D22">
            <w:pPr>
              <w:rPr>
                <w:i/>
                <w:color w:val="2E74B5" w:themeColor="accent1" w:themeShade="BF"/>
              </w:rPr>
            </w:pPr>
            <w:r w:rsidRPr="00AC0D22">
              <w:rPr>
                <w:i/>
                <w:color w:val="2E74B5" w:themeColor="accent1" w:themeShade="BF"/>
              </w:rPr>
              <w:t>Note in special report that we currently have data, will change approach based on evaluation of [VFA?] data as it becomes available.</w:t>
            </w:r>
          </w:p>
          <w:p w14:paraId="19483CEF" w14:textId="77777777" w:rsidR="00AC0D22" w:rsidRPr="00AC0D22" w:rsidRDefault="00AC0D22" w:rsidP="00AC0D22">
            <w:pPr>
              <w:rPr>
                <w:i/>
              </w:rPr>
            </w:pPr>
          </w:p>
        </w:tc>
      </w:tr>
    </w:tbl>
    <w:p w14:paraId="25ABD999" w14:textId="77777777" w:rsidR="00AC0D22" w:rsidRPr="00AC0D22" w:rsidRDefault="00AC0D22" w:rsidP="00AC0D22">
      <w:pPr>
        <w:spacing w:after="160" w:line="259" w:lineRule="auto"/>
        <w:rPr>
          <w:b/>
        </w:rPr>
      </w:pPr>
    </w:p>
    <w:p w14:paraId="4CC78604" w14:textId="77777777" w:rsidR="00AC0D22" w:rsidRPr="00AC0D22" w:rsidRDefault="00AC0D22" w:rsidP="00AC0D22">
      <w:pPr>
        <w:spacing w:after="160" w:line="259" w:lineRule="auto"/>
      </w:pPr>
      <w:r w:rsidRPr="00AC0D22">
        <w:br w:type="page"/>
      </w:r>
    </w:p>
    <w:p w14:paraId="1D6D3394" w14:textId="77777777" w:rsidR="00AC0D22" w:rsidRPr="00AC0D22" w:rsidRDefault="00AC0D22" w:rsidP="00AC0D22">
      <w:pPr>
        <w:keepNext/>
        <w:keepLines/>
        <w:spacing w:before="40" w:line="259" w:lineRule="auto"/>
        <w:outlineLvl w:val="1"/>
        <w:rPr>
          <w:rFonts w:asciiTheme="majorHAnsi" w:eastAsiaTheme="majorEastAsia" w:hAnsiTheme="majorHAnsi" w:cstheme="majorBidi"/>
          <w:color w:val="2E74B5" w:themeColor="accent1" w:themeShade="BF"/>
          <w:sz w:val="26"/>
          <w:szCs w:val="26"/>
        </w:rPr>
      </w:pPr>
      <w:r w:rsidRPr="00AC0D22">
        <w:rPr>
          <w:rFonts w:asciiTheme="majorHAnsi" w:eastAsiaTheme="majorEastAsia" w:hAnsiTheme="majorHAnsi" w:cstheme="majorBidi"/>
          <w:color w:val="2E74B5" w:themeColor="accent1" w:themeShade="BF"/>
          <w:sz w:val="26"/>
          <w:szCs w:val="26"/>
        </w:rPr>
        <w:t>Lifelong Learning</w:t>
      </w:r>
    </w:p>
    <w:tbl>
      <w:tblPr>
        <w:tblStyle w:val="TableGrid"/>
        <w:tblW w:w="5000" w:type="pct"/>
        <w:tblLook w:val="04A0" w:firstRow="1" w:lastRow="0" w:firstColumn="1" w:lastColumn="0" w:noHBand="0" w:noVBand="1"/>
      </w:tblPr>
      <w:tblGrid>
        <w:gridCol w:w="4368"/>
        <w:gridCol w:w="6422"/>
      </w:tblGrid>
      <w:tr w:rsidR="00AC0D22" w:rsidRPr="00AC0D22" w14:paraId="44DEEB8B" w14:textId="77777777" w:rsidTr="00625A44">
        <w:tc>
          <w:tcPr>
            <w:tcW w:w="2024" w:type="pct"/>
            <w:shd w:val="clear" w:color="auto" w:fill="B4C6E7" w:themeFill="accent5" w:themeFillTint="66"/>
          </w:tcPr>
          <w:p w14:paraId="01606C5E" w14:textId="77777777" w:rsidR="00AC0D22" w:rsidRPr="00AC0D22" w:rsidRDefault="00AC0D22" w:rsidP="00AC0D22">
            <w:pPr>
              <w:jc w:val="center"/>
              <w:rPr>
                <w:b/>
              </w:rPr>
            </w:pPr>
            <w:r w:rsidRPr="00AC0D22">
              <w:rPr>
                <w:b/>
              </w:rPr>
              <w:t>MF Indicators</w:t>
            </w:r>
          </w:p>
        </w:tc>
        <w:tc>
          <w:tcPr>
            <w:tcW w:w="2976" w:type="pct"/>
            <w:shd w:val="clear" w:color="auto" w:fill="B4C6E7" w:themeFill="accent5" w:themeFillTint="66"/>
          </w:tcPr>
          <w:p w14:paraId="6B29FD14" w14:textId="77777777" w:rsidR="00AC0D22" w:rsidRPr="00AC0D22" w:rsidRDefault="00AC0D22" w:rsidP="00AC0D22">
            <w:pPr>
              <w:jc w:val="center"/>
              <w:rPr>
                <w:b/>
              </w:rPr>
            </w:pPr>
            <w:r w:rsidRPr="00AC0D22">
              <w:rPr>
                <w:b/>
              </w:rPr>
              <w:t>Proposed Next Steps &amp; Changes</w:t>
            </w:r>
          </w:p>
        </w:tc>
      </w:tr>
      <w:tr w:rsidR="00AC0D22" w:rsidRPr="00AC0D22" w14:paraId="6CA2116B" w14:textId="77777777" w:rsidTr="00625A44">
        <w:tc>
          <w:tcPr>
            <w:tcW w:w="2024" w:type="pct"/>
          </w:tcPr>
          <w:p w14:paraId="36FEFB81" w14:textId="77777777" w:rsidR="00AC0D22" w:rsidRPr="00AC0D22" w:rsidRDefault="00AC0D22" w:rsidP="00AC0D22">
            <w:pPr>
              <w:rPr>
                <w:i/>
                <w:color w:val="2E74B5" w:themeColor="accent1" w:themeShade="BF"/>
              </w:rPr>
            </w:pPr>
            <w:r w:rsidRPr="00AC0D22">
              <w:rPr>
                <w:i/>
                <w:color w:val="2E74B5" w:themeColor="accent1" w:themeShade="BF"/>
              </w:rPr>
              <w:t>Add Overall Access Indicator for CCC</w:t>
            </w:r>
          </w:p>
        </w:tc>
        <w:tc>
          <w:tcPr>
            <w:tcW w:w="2976" w:type="pct"/>
          </w:tcPr>
          <w:p w14:paraId="6F034CB1" w14:textId="77777777" w:rsidR="00AC0D22" w:rsidRPr="00AC0D22" w:rsidRDefault="00AC0D22" w:rsidP="00AC0D22">
            <w:pPr>
              <w:rPr>
                <w:i/>
                <w:color w:val="2E74B5" w:themeColor="accent1" w:themeShade="BF"/>
              </w:rPr>
            </w:pPr>
            <w:r w:rsidRPr="00AC0D22">
              <w:rPr>
                <w:i/>
                <w:color w:val="2E74B5" w:themeColor="accent1" w:themeShade="BF"/>
              </w:rPr>
              <w:t>Demographics of all students served at CCC are representative of service district population.</w:t>
            </w:r>
          </w:p>
        </w:tc>
      </w:tr>
      <w:tr w:rsidR="00AC0D22" w:rsidRPr="00AC0D22" w14:paraId="3E6012E0" w14:textId="77777777" w:rsidTr="00625A44">
        <w:tc>
          <w:tcPr>
            <w:tcW w:w="2024" w:type="pct"/>
          </w:tcPr>
          <w:p w14:paraId="20831E19" w14:textId="77777777" w:rsidR="00AC0D22" w:rsidRPr="00AC0D22" w:rsidRDefault="00AC0D22" w:rsidP="00AC0D22">
            <w:r w:rsidRPr="00AC0D22">
              <w:t xml:space="preserve">4.1 Unduplicated annual ACE, CTE Supplemental and Community Education Headcount participation credit and non-credit courses that provide career advancement, life and wellness skills, or employment </w:t>
            </w:r>
            <w:hyperlink r:id="rId11" w:history="1">
              <w:r w:rsidRPr="00AC0D22">
                <w:t>and % of service district population 18 years and older</w:t>
              </w:r>
            </w:hyperlink>
            <w:r w:rsidRPr="00AC0D22">
              <w:t xml:space="preserve"> it represents. </w:t>
            </w:r>
          </w:p>
          <w:p w14:paraId="61267208" w14:textId="77777777" w:rsidR="00AC0D22" w:rsidRPr="00AC0D22" w:rsidRDefault="00AC0D22" w:rsidP="00AC0D22">
            <w:hyperlink r:id="rId12" w:anchor="!/vizhome/LifelongLearningIndicator1CommunityParticipation/LifelongLearningCoreThemeIndicator1" w:history="1">
              <w:r w:rsidRPr="00AC0D22">
                <w:t>Detail Results</w:t>
              </w:r>
            </w:hyperlink>
          </w:p>
        </w:tc>
        <w:tc>
          <w:tcPr>
            <w:tcW w:w="2976" w:type="pct"/>
          </w:tcPr>
          <w:p w14:paraId="1AF18BA7" w14:textId="77777777" w:rsidR="00AC0D22" w:rsidRPr="00AC0D22" w:rsidRDefault="00AC0D22" w:rsidP="00AC0D22">
            <w:r w:rsidRPr="00AC0D22">
              <w:t xml:space="preserve">Simplify the wording on 4.1. Even though we can only record populations of voting age participants in community education, we don’t see a need to list details like that in the wording of the indicator. </w:t>
            </w:r>
          </w:p>
          <w:p w14:paraId="3F874AFA" w14:textId="77777777" w:rsidR="00AC0D22" w:rsidRPr="00AC0D22" w:rsidRDefault="00AC0D22" w:rsidP="00AC0D22"/>
          <w:p w14:paraId="44543355" w14:textId="77777777" w:rsidR="00AC0D22" w:rsidRPr="00AC0D22" w:rsidRDefault="00AC0D22" w:rsidP="00AC0D22">
            <w:pPr>
              <w:rPr>
                <w:i/>
                <w:color w:val="2E74B5" w:themeColor="accent1" w:themeShade="BF"/>
              </w:rPr>
            </w:pPr>
            <w:r w:rsidRPr="00AC0D22">
              <w:rPr>
                <w:i/>
                <w:color w:val="2E74B5" w:themeColor="accent1" w:themeShade="BF"/>
              </w:rPr>
              <w:t>Reword: Percent of ACE, CTE Supplemental and Community Education participants are representative of service district population.</w:t>
            </w:r>
          </w:p>
          <w:p w14:paraId="6D422DE6" w14:textId="77777777" w:rsidR="00AC0D22" w:rsidRPr="00AC0D22" w:rsidRDefault="00AC0D22" w:rsidP="00AC0D22">
            <w:pPr>
              <w:rPr>
                <w:i/>
              </w:rPr>
            </w:pPr>
          </w:p>
          <w:p w14:paraId="1EE7D195" w14:textId="77777777" w:rsidR="00AC0D22" w:rsidRPr="00AC0D22" w:rsidRDefault="00AC0D22" w:rsidP="00AC0D22">
            <w:pPr>
              <w:rPr>
                <w:i/>
              </w:rPr>
            </w:pPr>
          </w:p>
        </w:tc>
      </w:tr>
      <w:tr w:rsidR="00AC0D22" w:rsidRPr="00AC0D22" w14:paraId="06C93F52" w14:textId="77777777" w:rsidTr="00625A44">
        <w:tc>
          <w:tcPr>
            <w:tcW w:w="2024" w:type="pct"/>
          </w:tcPr>
          <w:p w14:paraId="06C0FBBD" w14:textId="77777777" w:rsidR="00AC0D22" w:rsidRPr="00AC0D22" w:rsidRDefault="00AC0D22" w:rsidP="00AC0D22">
            <w:r w:rsidRPr="00AC0D22">
              <w:t xml:space="preserve">4.2 Annual number of </w:t>
            </w:r>
            <w:hyperlink r:id="rId13" w:history="1">
              <w:r w:rsidRPr="00AC0D22">
                <w:t>Workforce Credentials</w:t>
              </w:r>
            </w:hyperlink>
          </w:p>
        </w:tc>
        <w:tc>
          <w:tcPr>
            <w:tcW w:w="2976" w:type="pct"/>
          </w:tcPr>
          <w:p w14:paraId="34862567" w14:textId="77777777" w:rsidR="00AC0D22" w:rsidRPr="00AC0D22" w:rsidRDefault="00AC0D22" w:rsidP="00AC0D22">
            <w:r w:rsidRPr="00AC0D22">
              <w:t>Combine 4.2 and 4.3 to emphasize that grant funding goals are met or exceeded (yes/not, vs counts that fluctuate year to year)</w:t>
            </w:r>
          </w:p>
          <w:p w14:paraId="1955AC8C" w14:textId="77777777" w:rsidR="00AC0D22" w:rsidRPr="00AC0D22" w:rsidRDefault="00AC0D22" w:rsidP="00AC0D22"/>
        </w:tc>
      </w:tr>
      <w:tr w:rsidR="00AC0D22" w:rsidRPr="00AC0D22" w14:paraId="6046E819" w14:textId="77777777" w:rsidTr="00625A44">
        <w:tc>
          <w:tcPr>
            <w:tcW w:w="2024" w:type="pct"/>
          </w:tcPr>
          <w:p w14:paraId="718ED2B3" w14:textId="77777777" w:rsidR="00AC0D22" w:rsidRPr="00AC0D22" w:rsidRDefault="00AC0D22" w:rsidP="00AC0D22">
            <w:r w:rsidRPr="00AC0D22">
              <w:t>4.3 Annual number of</w:t>
            </w:r>
            <w:hyperlink r:id="rId14" w:history="1">
              <w:r w:rsidRPr="00AC0D22">
                <w:t xml:space="preserve"> OJTs</w:t>
              </w:r>
            </w:hyperlink>
            <w:r w:rsidRPr="00AC0D22">
              <w:t xml:space="preserve"> through Workforce area.</w:t>
            </w:r>
          </w:p>
        </w:tc>
        <w:tc>
          <w:tcPr>
            <w:tcW w:w="2976" w:type="pct"/>
          </w:tcPr>
          <w:p w14:paraId="0F3619C9" w14:textId="77777777" w:rsidR="00AC0D22" w:rsidRPr="00AC0D22" w:rsidRDefault="00AC0D22" w:rsidP="00AC0D22">
            <w:r w:rsidRPr="00AC0D22">
              <w:t>Combine 4.2 and 4.3 to emphasize that grant funding goals are met or exceeded (yes/not, vs counts that fluctuate year to year)</w:t>
            </w:r>
          </w:p>
          <w:p w14:paraId="2987F822" w14:textId="77777777" w:rsidR="00AC0D22" w:rsidRPr="00AC0D22" w:rsidRDefault="00AC0D22" w:rsidP="00AC0D22"/>
        </w:tc>
      </w:tr>
      <w:tr w:rsidR="00AC0D22" w:rsidRPr="00AC0D22" w14:paraId="4EE4BAA5" w14:textId="77777777" w:rsidTr="00625A44">
        <w:tc>
          <w:tcPr>
            <w:tcW w:w="2024" w:type="pct"/>
          </w:tcPr>
          <w:p w14:paraId="1B42E652" w14:textId="77777777" w:rsidR="00AC0D22" w:rsidRPr="00AC0D22" w:rsidRDefault="00AC0D22" w:rsidP="00AC0D22">
            <w:r w:rsidRPr="00AC0D22">
              <w:t xml:space="preserve">4.4 Annual number of </w:t>
            </w:r>
            <w:hyperlink r:id="rId15" w:history="1">
              <w:r w:rsidRPr="00AC0D22">
                <w:t>CEUs</w:t>
              </w:r>
            </w:hyperlink>
            <w:r w:rsidRPr="00AC0D22">
              <w:t xml:space="preserve"> granted through Customized Training.</w:t>
            </w:r>
          </w:p>
          <w:p w14:paraId="708A8618" w14:textId="77777777" w:rsidR="00AC0D22" w:rsidRPr="00AC0D22" w:rsidRDefault="00AC0D22" w:rsidP="00AC0D22"/>
        </w:tc>
        <w:tc>
          <w:tcPr>
            <w:tcW w:w="2976" w:type="pct"/>
          </w:tcPr>
          <w:p w14:paraId="0D472A4D" w14:textId="77777777" w:rsidR="00AC0D22" w:rsidRPr="00AC0D22" w:rsidRDefault="00AC0D22" w:rsidP="00AC0D22">
            <w:r w:rsidRPr="00AC0D22">
              <w:t xml:space="preserve">That is to include annual CEU numbers from the entire college, and not just the Customized Training department. </w:t>
            </w:r>
          </w:p>
          <w:p w14:paraId="7E2E8EE1" w14:textId="77777777" w:rsidR="00AC0D22" w:rsidRPr="00AC0D22" w:rsidRDefault="00AC0D22" w:rsidP="00AC0D22">
            <w:pPr>
              <w:rPr>
                <w:i/>
                <w:color w:val="2E74B5" w:themeColor="accent1" w:themeShade="BF"/>
              </w:rPr>
            </w:pPr>
            <w:r w:rsidRPr="00AC0D22">
              <w:rPr>
                <w:i/>
                <w:color w:val="2E74B5" w:themeColor="accent1" w:themeShade="BF"/>
              </w:rPr>
              <w:t>IR to look at how CEUs are flagged in data warehouse.</w:t>
            </w:r>
          </w:p>
          <w:p w14:paraId="5B2C55CF" w14:textId="77777777" w:rsidR="00AC0D22" w:rsidRPr="00AC0D22" w:rsidRDefault="00AC0D22" w:rsidP="00AC0D22">
            <w:pPr>
              <w:rPr>
                <w:i/>
              </w:rPr>
            </w:pPr>
          </w:p>
        </w:tc>
      </w:tr>
      <w:tr w:rsidR="00AC0D22" w:rsidRPr="00AC0D22" w14:paraId="5B8DDE1A" w14:textId="77777777" w:rsidTr="00625A44">
        <w:tc>
          <w:tcPr>
            <w:tcW w:w="2024" w:type="pct"/>
          </w:tcPr>
          <w:p w14:paraId="37D91A9E" w14:textId="77777777" w:rsidR="00AC0D22" w:rsidRPr="00AC0D22" w:rsidRDefault="00AC0D22" w:rsidP="00AC0D22">
            <w:r w:rsidRPr="00AC0D22">
              <w:t xml:space="preserve">4.5 % of Customized Training students rating the </w:t>
            </w:r>
            <w:hyperlink r:id="rId16" w:history="1">
              <w:r w:rsidRPr="00AC0D22">
                <w:t>overall value of the course</w:t>
              </w:r>
            </w:hyperlink>
            <w:r w:rsidRPr="00AC0D22">
              <w:t xml:space="preserve"> through five course rating items as “agree” or “strongly agree” on a six point agreement scale.</w:t>
            </w:r>
          </w:p>
          <w:p w14:paraId="1EDEEE9A" w14:textId="77777777" w:rsidR="00AC0D22" w:rsidRPr="00AC0D22" w:rsidRDefault="00AC0D22" w:rsidP="00AC0D22"/>
        </w:tc>
        <w:tc>
          <w:tcPr>
            <w:tcW w:w="2976" w:type="pct"/>
          </w:tcPr>
          <w:p w14:paraId="69743D32" w14:textId="77777777" w:rsidR="00AC0D22" w:rsidRPr="00AC0D22" w:rsidRDefault="00AC0D22" w:rsidP="00AC0D22">
            <w:r w:rsidRPr="00AC0D22">
              <w:t>Combine 4.5 and 4.6 to look at overall satisfaction with Customized Training.</w:t>
            </w:r>
          </w:p>
          <w:p w14:paraId="2B5C8A4C" w14:textId="77777777" w:rsidR="00AC0D22" w:rsidRPr="00AC0D22" w:rsidRDefault="00AC0D22" w:rsidP="00AC0D22">
            <w:pPr>
              <w:rPr>
                <w:i/>
              </w:rPr>
            </w:pPr>
            <w:r w:rsidRPr="00AC0D22">
              <w:rPr>
                <w:i/>
              </w:rPr>
              <w:t>Perhaps 4.5a</w:t>
            </w:r>
          </w:p>
          <w:p w14:paraId="18324500" w14:textId="77777777" w:rsidR="00AC0D22" w:rsidRPr="00AC0D22" w:rsidRDefault="00AC0D22" w:rsidP="00AC0D22">
            <w:pPr>
              <w:rPr>
                <w:i/>
              </w:rPr>
            </w:pPr>
            <w:r w:rsidRPr="00AC0D22">
              <w:rPr>
                <w:i/>
                <w:color w:val="2E74B5" w:themeColor="accent1" w:themeShade="BF"/>
              </w:rPr>
              <w:t>After mid-cycle report, consider looking at 7-point scale for survey.</w:t>
            </w:r>
          </w:p>
        </w:tc>
      </w:tr>
      <w:tr w:rsidR="00AC0D22" w:rsidRPr="00AC0D22" w14:paraId="08BB1CEF" w14:textId="77777777" w:rsidTr="00625A44">
        <w:tc>
          <w:tcPr>
            <w:tcW w:w="2024" w:type="pct"/>
          </w:tcPr>
          <w:p w14:paraId="6C8E61C3" w14:textId="77777777" w:rsidR="00AC0D22" w:rsidRPr="00AC0D22" w:rsidRDefault="00AC0D22" w:rsidP="00AC0D22">
            <w:r w:rsidRPr="00AC0D22">
              <w:t xml:space="preserve">4.6 % of Customized Training employers rating the </w:t>
            </w:r>
            <w:hyperlink r:id="rId17" w:history="1">
              <w:r w:rsidRPr="00AC0D22">
                <w:t>value of the training</w:t>
              </w:r>
            </w:hyperlink>
            <w:r w:rsidRPr="00AC0D22">
              <w:t xml:space="preserve"> through the survey item “Overall we were satisfied with the training” – and providing a rating of “agree” or “strongly agree” on a six point agreement scale.</w:t>
            </w:r>
          </w:p>
          <w:p w14:paraId="2D495945" w14:textId="77777777" w:rsidR="00AC0D22" w:rsidRPr="00AC0D22" w:rsidRDefault="00AC0D22" w:rsidP="00AC0D22"/>
        </w:tc>
        <w:tc>
          <w:tcPr>
            <w:tcW w:w="2976" w:type="pct"/>
          </w:tcPr>
          <w:p w14:paraId="71F28767" w14:textId="77777777" w:rsidR="00AC0D22" w:rsidRPr="00AC0D22" w:rsidRDefault="00AC0D22" w:rsidP="00AC0D22">
            <w:r w:rsidRPr="00AC0D22">
              <w:t>Combine 4.5 and 4.6 to look at overall satisfaction with Customized Training.</w:t>
            </w:r>
          </w:p>
          <w:p w14:paraId="0041645F" w14:textId="77777777" w:rsidR="00AC0D22" w:rsidRPr="00AC0D22" w:rsidRDefault="00AC0D22" w:rsidP="00AC0D22">
            <w:pPr>
              <w:rPr>
                <w:i/>
              </w:rPr>
            </w:pPr>
            <w:r w:rsidRPr="00AC0D22">
              <w:rPr>
                <w:i/>
              </w:rPr>
              <w:t>Perhaps 4.5b</w:t>
            </w:r>
          </w:p>
          <w:p w14:paraId="67B43DFE" w14:textId="77777777" w:rsidR="00AC0D22" w:rsidRPr="00AC0D22" w:rsidRDefault="00AC0D22" w:rsidP="00AC0D22">
            <w:pPr>
              <w:rPr>
                <w:i/>
              </w:rPr>
            </w:pPr>
            <w:r w:rsidRPr="00AC0D22">
              <w:rPr>
                <w:i/>
                <w:color w:val="2E74B5" w:themeColor="accent1" w:themeShade="BF"/>
              </w:rPr>
              <w:t>After mid-cycle report, consider looking at 7-point scale for survey.</w:t>
            </w:r>
          </w:p>
        </w:tc>
      </w:tr>
      <w:tr w:rsidR="00AC0D22" w:rsidRPr="00AC0D22" w14:paraId="0D69F0A6" w14:textId="77777777" w:rsidTr="00625A44">
        <w:tc>
          <w:tcPr>
            <w:tcW w:w="2024" w:type="pct"/>
          </w:tcPr>
          <w:p w14:paraId="0D51AEA8" w14:textId="77777777" w:rsidR="00AC0D22" w:rsidRPr="00AC0D22" w:rsidRDefault="00AC0D22" w:rsidP="00AC0D22">
            <w:r w:rsidRPr="00AC0D22">
              <w:t xml:space="preserve">4.7 % of Community Education partners </w:t>
            </w:r>
            <w:hyperlink r:id="rId18" w:history="1">
              <w:r w:rsidRPr="00AC0D22">
                <w:t>indicating a “strong partnership</w:t>
              </w:r>
            </w:hyperlink>
            <w:r w:rsidRPr="00AC0D22">
              <w:t>” through select survey items and providing a rating of “agree” or “strongly agree” on a six point agreement scale.</w:t>
            </w:r>
          </w:p>
          <w:p w14:paraId="11A60E7E" w14:textId="77777777" w:rsidR="00AC0D22" w:rsidRPr="00AC0D22" w:rsidRDefault="00AC0D22" w:rsidP="00AC0D22"/>
        </w:tc>
        <w:tc>
          <w:tcPr>
            <w:tcW w:w="2976" w:type="pct"/>
          </w:tcPr>
          <w:p w14:paraId="2A86B8BD" w14:textId="77777777" w:rsidR="00AC0D22" w:rsidRPr="00AC0D22" w:rsidRDefault="00AC0D22" w:rsidP="00AC0D22"/>
        </w:tc>
      </w:tr>
    </w:tbl>
    <w:p w14:paraId="3441B672" w14:textId="77777777" w:rsidR="00AC0D22" w:rsidRPr="00AC0D22" w:rsidRDefault="00AC0D22" w:rsidP="00AC0D22">
      <w:pPr>
        <w:spacing w:after="160" w:line="259" w:lineRule="auto"/>
        <w:rPr>
          <w:b/>
        </w:rPr>
      </w:pPr>
    </w:p>
    <w:p w14:paraId="10798714" w14:textId="77777777" w:rsidR="00270F5F" w:rsidRPr="00270F5F" w:rsidRDefault="00270F5F" w:rsidP="00270F5F">
      <w:pPr>
        <w:rPr>
          <w:b/>
          <w:sz w:val="24"/>
        </w:rPr>
      </w:pPr>
    </w:p>
    <w:sectPr w:rsidR="00270F5F" w:rsidRPr="00270F5F" w:rsidSect="00AC0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335F" w14:textId="77777777" w:rsidR="00660A03" w:rsidRDefault="00660A03" w:rsidP="00B36C2A">
      <w:r>
        <w:separator/>
      </w:r>
    </w:p>
  </w:endnote>
  <w:endnote w:type="continuationSeparator" w:id="0">
    <w:p w14:paraId="2BC0FD52" w14:textId="77777777" w:rsidR="00660A03" w:rsidRDefault="00660A03"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1F76FA" w:rsidRDefault="001F76FA" w:rsidP="00B36C2A">
        <w:pPr>
          <w:pStyle w:val="Footer"/>
          <w:jc w:val="right"/>
        </w:pPr>
        <w:r>
          <w:fldChar w:fldCharType="begin"/>
        </w:r>
        <w:r>
          <w:instrText xml:space="preserve"> PAGE   \* MERGEFORMAT </w:instrText>
        </w:r>
        <w:r>
          <w:fldChar w:fldCharType="separate"/>
        </w:r>
        <w:r w:rsidR="004F411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32CA" w14:textId="77777777" w:rsidR="00660A03" w:rsidRDefault="00660A03" w:rsidP="00B36C2A">
      <w:r>
        <w:separator/>
      </w:r>
    </w:p>
  </w:footnote>
  <w:footnote w:type="continuationSeparator" w:id="0">
    <w:p w14:paraId="4CD10BE9" w14:textId="77777777" w:rsidR="00660A03" w:rsidRDefault="00660A03"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9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7825"/>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D79E5"/>
    <w:multiLevelType w:val="hybridMultilevel"/>
    <w:tmpl w:val="63F645DC"/>
    <w:lvl w:ilvl="0" w:tplc="5EF8C98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468C4"/>
    <w:multiLevelType w:val="hybridMultilevel"/>
    <w:tmpl w:val="D58E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F7B4C"/>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21420"/>
    <w:multiLevelType w:val="hybridMultilevel"/>
    <w:tmpl w:val="000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C0106"/>
    <w:multiLevelType w:val="hybridMultilevel"/>
    <w:tmpl w:val="69D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306"/>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2688D"/>
    <w:multiLevelType w:val="hybridMultilevel"/>
    <w:tmpl w:val="926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F558B"/>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A25C0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CD050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000F2"/>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215AB"/>
    <w:multiLevelType w:val="hybridMultilevel"/>
    <w:tmpl w:val="40B2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87DD3"/>
    <w:multiLevelType w:val="hybridMultilevel"/>
    <w:tmpl w:val="F564AC22"/>
    <w:lvl w:ilvl="0" w:tplc="1FBA71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04A0B"/>
    <w:multiLevelType w:val="hybridMultilevel"/>
    <w:tmpl w:val="EC3EC1C6"/>
    <w:lvl w:ilvl="0" w:tplc="509031E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03E57"/>
    <w:multiLevelType w:val="hybridMultilevel"/>
    <w:tmpl w:val="80AE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02B05"/>
    <w:multiLevelType w:val="hybridMultilevel"/>
    <w:tmpl w:val="265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F121F"/>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10C2A"/>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2"/>
  </w:num>
  <w:num w:numId="3">
    <w:abstractNumId w:val="18"/>
  </w:num>
  <w:num w:numId="4">
    <w:abstractNumId w:val="33"/>
  </w:num>
  <w:num w:numId="5">
    <w:abstractNumId w:val="29"/>
  </w:num>
  <w:num w:numId="6">
    <w:abstractNumId w:val="26"/>
  </w:num>
  <w:num w:numId="7">
    <w:abstractNumId w:val="1"/>
  </w:num>
  <w:num w:numId="8">
    <w:abstractNumId w:val="24"/>
  </w:num>
  <w:num w:numId="9">
    <w:abstractNumId w:val="20"/>
  </w:num>
  <w:num w:numId="10">
    <w:abstractNumId w:val="31"/>
  </w:num>
  <w:num w:numId="11">
    <w:abstractNumId w:val="4"/>
  </w:num>
  <w:num w:numId="12">
    <w:abstractNumId w:val="12"/>
  </w:num>
  <w:num w:numId="13">
    <w:abstractNumId w:val="16"/>
  </w:num>
  <w:num w:numId="14">
    <w:abstractNumId w:val="10"/>
  </w:num>
  <w:num w:numId="15">
    <w:abstractNumId w:val="5"/>
  </w:num>
  <w:num w:numId="16">
    <w:abstractNumId w:val="27"/>
  </w:num>
  <w:num w:numId="17">
    <w:abstractNumId w:val="19"/>
  </w:num>
  <w:num w:numId="18">
    <w:abstractNumId w:val="8"/>
  </w:num>
  <w:num w:numId="19">
    <w:abstractNumId w:val="15"/>
  </w:num>
  <w:num w:numId="20">
    <w:abstractNumId w:val="28"/>
  </w:num>
  <w:num w:numId="21">
    <w:abstractNumId w:val="6"/>
  </w:num>
  <w:num w:numId="22">
    <w:abstractNumId w:val="30"/>
  </w:num>
  <w:num w:numId="23">
    <w:abstractNumId w:val="37"/>
  </w:num>
  <w:num w:numId="24">
    <w:abstractNumId w:val="11"/>
  </w:num>
  <w:num w:numId="25">
    <w:abstractNumId w:val="35"/>
  </w:num>
  <w:num w:numId="26">
    <w:abstractNumId w:val="13"/>
  </w:num>
  <w:num w:numId="27">
    <w:abstractNumId w:val="2"/>
  </w:num>
  <w:num w:numId="28">
    <w:abstractNumId w:val="40"/>
  </w:num>
  <w:num w:numId="29">
    <w:abstractNumId w:val="25"/>
  </w:num>
  <w:num w:numId="30">
    <w:abstractNumId w:val="38"/>
  </w:num>
  <w:num w:numId="31">
    <w:abstractNumId w:val="23"/>
  </w:num>
  <w:num w:numId="32">
    <w:abstractNumId w:val="9"/>
  </w:num>
  <w:num w:numId="33">
    <w:abstractNumId w:val="22"/>
  </w:num>
  <w:num w:numId="34">
    <w:abstractNumId w:val="0"/>
  </w:num>
  <w:num w:numId="35">
    <w:abstractNumId w:val="21"/>
  </w:num>
  <w:num w:numId="36">
    <w:abstractNumId w:val="14"/>
  </w:num>
  <w:num w:numId="37">
    <w:abstractNumId w:val="3"/>
  </w:num>
  <w:num w:numId="38">
    <w:abstractNumId w:val="34"/>
  </w:num>
  <w:num w:numId="39">
    <w:abstractNumId w:val="17"/>
  </w:num>
  <w:num w:numId="40">
    <w:abstractNumId w:val="3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0020"/>
    <w:rsid w:val="00011C6B"/>
    <w:rsid w:val="0002128F"/>
    <w:rsid w:val="00024510"/>
    <w:rsid w:val="00046534"/>
    <w:rsid w:val="00053EE5"/>
    <w:rsid w:val="000560B3"/>
    <w:rsid w:val="00057BC1"/>
    <w:rsid w:val="0007715E"/>
    <w:rsid w:val="00094841"/>
    <w:rsid w:val="000C0E5E"/>
    <w:rsid w:val="000C4882"/>
    <w:rsid w:val="000C4963"/>
    <w:rsid w:val="000F4029"/>
    <w:rsid w:val="00101D9D"/>
    <w:rsid w:val="00113701"/>
    <w:rsid w:val="0012065F"/>
    <w:rsid w:val="0012199F"/>
    <w:rsid w:val="00125D04"/>
    <w:rsid w:val="0013424C"/>
    <w:rsid w:val="00137173"/>
    <w:rsid w:val="00137F30"/>
    <w:rsid w:val="00150E69"/>
    <w:rsid w:val="00165BA7"/>
    <w:rsid w:val="001664E9"/>
    <w:rsid w:val="00181586"/>
    <w:rsid w:val="00197B12"/>
    <w:rsid w:val="001B4106"/>
    <w:rsid w:val="001B68DE"/>
    <w:rsid w:val="001D32BD"/>
    <w:rsid w:val="001E0B27"/>
    <w:rsid w:val="001F4FB9"/>
    <w:rsid w:val="001F6908"/>
    <w:rsid w:val="001F76FA"/>
    <w:rsid w:val="0020203C"/>
    <w:rsid w:val="00210004"/>
    <w:rsid w:val="002111B9"/>
    <w:rsid w:val="00213E6C"/>
    <w:rsid w:val="00235934"/>
    <w:rsid w:val="00237BB3"/>
    <w:rsid w:val="00237E19"/>
    <w:rsid w:val="00246343"/>
    <w:rsid w:val="0025330B"/>
    <w:rsid w:val="002566EB"/>
    <w:rsid w:val="00257A00"/>
    <w:rsid w:val="00270F5F"/>
    <w:rsid w:val="0028081D"/>
    <w:rsid w:val="002830B8"/>
    <w:rsid w:val="002923B6"/>
    <w:rsid w:val="0029380A"/>
    <w:rsid w:val="002B0294"/>
    <w:rsid w:val="002B2DD6"/>
    <w:rsid w:val="002C169B"/>
    <w:rsid w:val="002C384B"/>
    <w:rsid w:val="002D2A5A"/>
    <w:rsid w:val="002E1820"/>
    <w:rsid w:val="002E27ED"/>
    <w:rsid w:val="002E4F3E"/>
    <w:rsid w:val="002F04B0"/>
    <w:rsid w:val="002F2A06"/>
    <w:rsid w:val="002F42FC"/>
    <w:rsid w:val="003036D9"/>
    <w:rsid w:val="003124AF"/>
    <w:rsid w:val="0032561C"/>
    <w:rsid w:val="0034035E"/>
    <w:rsid w:val="00342C2E"/>
    <w:rsid w:val="00364FDD"/>
    <w:rsid w:val="003722A9"/>
    <w:rsid w:val="00372549"/>
    <w:rsid w:val="0037580B"/>
    <w:rsid w:val="00383BDA"/>
    <w:rsid w:val="0039004F"/>
    <w:rsid w:val="00395456"/>
    <w:rsid w:val="003A0FA4"/>
    <w:rsid w:val="003A188F"/>
    <w:rsid w:val="003A694E"/>
    <w:rsid w:val="003B4E78"/>
    <w:rsid w:val="003B585E"/>
    <w:rsid w:val="003C109E"/>
    <w:rsid w:val="003D0496"/>
    <w:rsid w:val="003D116B"/>
    <w:rsid w:val="003D1F37"/>
    <w:rsid w:val="003D5608"/>
    <w:rsid w:val="003D7249"/>
    <w:rsid w:val="003E1B5A"/>
    <w:rsid w:val="003F133B"/>
    <w:rsid w:val="00401AD1"/>
    <w:rsid w:val="004027C4"/>
    <w:rsid w:val="004055D6"/>
    <w:rsid w:val="00406503"/>
    <w:rsid w:val="00417D7A"/>
    <w:rsid w:val="004454DC"/>
    <w:rsid w:val="0044687C"/>
    <w:rsid w:val="0044701F"/>
    <w:rsid w:val="0044726D"/>
    <w:rsid w:val="00452E95"/>
    <w:rsid w:val="0045493C"/>
    <w:rsid w:val="00461BEB"/>
    <w:rsid w:val="00463445"/>
    <w:rsid w:val="00463E83"/>
    <w:rsid w:val="00466D43"/>
    <w:rsid w:val="00472B87"/>
    <w:rsid w:val="004762E7"/>
    <w:rsid w:val="0048329B"/>
    <w:rsid w:val="00495B4A"/>
    <w:rsid w:val="004B4715"/>
    <w:rsid w:val="004B665D"/>
    <w:rsid w:val="004C1B43"/>
    <w:rsid w:val="004D005F"/>
    <w:rsid w:val="004D45BE"/>
    <w:rsid w:val="004D4904"/>
    <w:rsid w:val="004F243A"/>
    <w:rsid w:val="004F411F"/>
    <w:rsid w:val="00500644"/>
    <w:rsid w:val="00500C8C"/>
    <w:rsid w:val="00510B88"/>
    <w:rsid w:val="0051126E"/>
    <w:rsid w:val="005270AF"/>
    <w:rsid w:val="00536B07"/>
    <w:rsid w:val="00541496"/>
    <w:rsid w:val="00552695"/>
    <w:rsid w:val="00552CED"/>
    <w:rsid w:val="0055696E"/>
    <w:rsid w:val="005574A6"/>
    <w:rsid w:val="00577F76"/>
    <w:rsid w:val="005906CF"/>
    <w:rsid w:val="00592E1F"/>
    <w:rsid w:val="00596870"/>
    <w:rsid w:val="005A403D"/>
    <w:rsid w:val="005A5B5C"/>
    <w:rsid w:val="005A69DC"/>
    <w:rsid w:val="005B137A"/>
    <w:rsid w:val="005B4089"/>
    <w:rsid w:val="005B463B"/>
    <w:rsid w:val="005C137A"/>
    <w:rsid w:val="005D39DB"/>
    <w:rsid w:val="005D7043"/>
    <w:rsid w:val="005F2C32"/>
    <w:rsid w:val="005F6023"/>
    <w:rsid w:val="00601230"/>
    <w:rsid w:val="00602782"/>
    <w:rsid w:val="006105F3"/>
    <w:rsid w:val="00617C50"/>
    <w:rsid w:val="006249BD"/>
    <w:rsid w:val="00625B35"/>
    <w:rsid w:val="0063761C"/>
    <w:rsid w:val="00642C5F"/>
    <w:rsid w:val="00651AA7"/>
    <w:rsid w:val="006537C1"/>
    <w:rsid w:val="006544AC"/>
    <w:rsid w:val="0065535A"/>
    <w:rsid w:val="00660A03"/>
    <w:rsid w:val="006703A8"/>
    <w:rsid w:val="00693F60"/>
    <w:rsid w:val="006A4EE5"/>
    <w:rsid w:val="006B2271"/>
    <w:rsid w:val="006B41E2"/>
    <w:rsid w:val="006B44B9"/>
    <w:rsid w:val="006C5F65"/>
    <w:rsid w:val="006C6A3E"/>
    <w:rsid w:val="006E0B77"/>
    <w:rsid w:val="006E107E"/>
    <w:rsid w:val="006F2F18"/>
    <w:rsid w:val="006F55FD"/>
    <w:rsid w:val="00707E50"/>
    <w:rsid w:val="00710A5A"/>
    <w:rsid w:val="00721640"/>
    <w:rsid w:val="00722934"/>
    <w:rsid w:val="0073182C"/>
    <w:rsid w:val="00731E50"/>
    <w:rsid w:val="0074193F"/>
    <w:rsid w:val="00753054"/>
    <w:rsid w:val="00764B6C"/>
    <w:rsid w:val="00780057"/>
    <w:rsid w:val="007822D7"/>
    <w:rsid w:val="0078379C"/>
    <w:rsid w:val="0079525E"/>
    <w:rsid w:val="007A564C"/>
    <w:rsid w:val="007B1F04"/>
    <w:rsid w:val="007B7819"/>
    <w:rsid w:val="007C0D60"/>
    <w:rsid w:val="007C5017"/>
    <w:rsid w:val="007C5A3A"/>
    <w:rsid w:val="007C7EDF"/>
    <w:rsid w:val="007E5DE1"/>
    <w:rsid w:val="007F1740"/>
    <w:rsid w:val="007F399F"/>
    <w:rsid w:val="007F73DE"/>
    <w:rsid w:val="00805A1E"/>
    <w:rsid w:val="00825E64"/>
    <w:rsid w:val="008261D2"/>
    <w:rsid w:val="00831769"/>
    <w:rsid w:val="00833E40"/>
    <w:rsid w:val="00837A88"/>
    <w:rsid w:val="0084297D"/>
    <w:rsid w:val="0084679F"/>
    <w:rsid w:val="00853374"/>
    <w:rsid w:val="008553D1"/>
    <w:rsid w:val="008605EE"/>
    <w:rsid w:val="008628F2"/>
    <w:rsid w:val="00864916"/>
    <w:rsid w:val="00866C03"/>
    <w:rsid w:val="0087045D"/>
    <w:rsid w:val="00886C1D"/>
    <w:rsid w:val="00890D01"/>
    <w:rsid w:val="008945AF"/>
    <w:rsid w:val="008A428A"/>
    <w:rsid w:val="008A4944"/>
    <w:rsid w:val="008A521C"/>
    <w:rsid w:val="008C11DF"/>
    <w:rsid w:val="008D0A27"/>
    <w:rsid w:val="00900B69"/>
    <w:rsid w:val="00911A2A"/>
    <w:rsid w:val="0091337D"/>
    <w:rsid w:val="00915885"/>
    <w:rsid w:val="00924F3F"/>
    <w:rsid w:val="00937F89"/>
    <w:rsid w:val="00944F2C"/>
    <w:rsid w:val="00956717"/>
    <w:rsid w:val="0095755C"/>
    <w:rsid w:val="0096540F"/>
    <w:rsid w:val="009708BA"/>
    <w:rsid w:val="009830F8"/>
    <w:rsid w:val="009853DD"/>
    <w:rsid w:val="009B7988"/>
    <w:rsid w:val="009C3F37"/>
    <w:rsid w:val="009C692A"/>
    <w:rsid w:val="009C7027"/>
    <w:rsid w:val="009D527D"/>
    <w:rsid w:val="009E5F1C"/>
    <w:rsid w:val="009F5F0F"/>
    <w:rsid w:val="009F7F48"/>
    <w:rsid w:val="00A20021"/>
    <w:rsid w:val="00A31DA4"/>
    <w:rsid w:val="00A40839"/>
    <w:rsid w:val="00A56BB7"/>
    <w:rsid w:val="00A57D66"/>
    <w:rsid w:val="00A6707A"/>
    <w:rsid w:val="00A7086B"/>
    <w:rsid w:val="00A70904"/>
    <w:rsid w:val="00A741E7"/>
    <w:rsid w:val="00A841F1"/>
    <w:rsid w:val="00A90E8E"/>
    <w:rsid w:val="00AC0D22"/>
    <w:rsid w:val="00AC58E8"/>
    <w:rsid w:val="00AC63B2"/>
    <w:rsid w:val="00AC75D2"/>
    <w:rsid w:val="00AC7CF8"/>
    <w:rsid w:val="00AD3C30"/>
    <w:rsid w:val="00AE1813"/>
    <w:rsid w:val="00AF5184"/>
    <w:rsid w:val="00B060D6"/>
    <w:rsid w:val="00B20CA1"/>
    <w:rsid w:val="00B22EA6"/>
    <w:rsid w:val="00B23EFB"/>
    <w:rsid w:val="00B27A25"/>
    <w:rsid w:val="00B36C2A"/>
    <w:rsid w:val="00B524F7"/>
    <w:rsid w:val="00B53688"/>
    <w:rsid w:val="00B62D35"/>
    <w:rsid w:val="00B73A10"/>
    <w:rsid w:val="00B84A81"/>
    <w:rsid w:val="00B91CAC"/>
    <w:rsid w:val="00B92BF8"/>
    <w:rsid w:val="00B9443F"/>
    <w:rsid w:val="00BA1C78"/>
    <w:rsid w:val="00BA74CE"/>
    <w:rsid w:val="00BB5528"/>
    <w:rsid w:val="00BB6CB2"/>
    <w:rsid w:val="00BC191B"/>
    <w:rsid w:val="00BD3550"/>
    <w:rsid w:val="00BD59CD"/>
    <w:rsid w:val="00BD7059"/>
    <w:rsid w:val="00BE4173"/>
    <w:rsid w:val="00C0367D"/>
    <w:rsid w:val="00C06133"/>
    <w:rsid w:val="00C0703B"/>
    <w:rsid w:val="00C158E6"/>
    <w:rsid w:val="00C26F8F"/>
    <w:rsid w:val="00C34EA5"/>
    <w:rsid w:val="00C44AD9"/>
    <w:rsid w:val="00C5698A"/>
    <w:rsid w:val="00C602A5"/>
    <w:rsid w:val="00C737D2"/>
    <w:rsid w:val="00C77341"/>
    <w:rsid w:val="00C97E96"/>
    <w:rsid w:val="00CB3327"/>
    <w:rsid w:val="00CB3C5E"/>
    <w:rsid w:val="00CB7277"/>
    <w:rsid w:val="00CC5B0B"/>
    <w:rsid w:val="00CC6B3E"/>
    <w:rsid w:val="00CD03D8"/>
    <w:rsid w:val="00CE2A60"/>
    <w:rsid w:val="00CE728C"/>
    <w:rsid w:val="00CF2287"/>
    <w:rsid w:val="00CF2C28"/>
    <w:rsid w:val="00D30DC7"/>
    <w:rsid w:val="00D359EF"/>
    <w:rsid w:val="00D436A4"/>
    <w:rsid w:val="00D44744"/>
    <w:rsid w:val="00D51791"/>
    <w:rsid w:val="00D538B5"/>
    <w:rsid w:val="00D6170C"/>
    <w:rsid w:val="00D93620"/>
    <w:rsid w:val="00DA1FCF"/>
    <w:rsid w:val="00DA2DEF"/>
    <w:rsid w:val="00DB0422"/>
    <w:rsid w:val="00DB0BE1"/>
    <w:rsid w:val="00DC1717"/>
    <w:rsid w:val="00DC7A0F"/>
    <w:rsid w:val="00DD29F3"/>
    <w:rsid w:val="00DE309B"/>
    <w:rsid w:val="00E02477"/>
    <w:rsid w:val="00E15278"/>
    <w:rsid w:val="00E4320A"/>
    <w:rsid w:val="00E55662"/>
    <w:rsid w:val="00E64A47"/>
    <w:rsid w:val="00E675C0"/>
    <w:rsid w:val="00E80DE9"/>
    <w:rsid w:val="00E810B7"/>
    <w:rsid w:val="00E83DEC"/>
    <w:rsid w:val="00E87D68"/>
    <w:rsid w:val="00E91856"/>
    <w:rsid w:val="00E930A7"/>
    <w:rsid w:val="00E947CB"/>
    <w:rsid w:val="00E95E56"/>
    <w:rsid w:val="00EA7383"/>
    <w:rsid w:val="00EE32DE"/>
    <w:rsid w:val="00EE38FD"/>
    <w:rsid w:val="00EE6FA8"/>
    <w:rsid w:val="00EF3DFD"/>
    <w:rsid w:val="00EF5DD0"/>
    <w:rsid w:val="00F01E26"/>
    <w:rsid w:val="00F01FF3"/>
    <w:rsid w:val="00F075B0"/>
    <w:rsid w:val="00F21AE1"/>
    <w:rsid w:val="00F23412"/>
    <w:rsid w:val="00F253FD"/>
    <w:rsid w:val="00F25ECD"/>
    <w:rsid w:val="00F4659A"/>
    <w:rsid w:val="00F53DB0"/>
    <w:rsid w:val="00F55F48"/>
    <w:rsid w:val="00F767D4"/>
    <w:rsid w:val="00F82951"/>
    <w:rsid w:val="00F85EAC"/>
    <w:rsid w:val="00FA6D1D"/>
    <w:rsid w:val="00FA76B8"/>
    <w:rsid w:val="00FC4A37"/>
    <w:rsid w:val="00FD200B"/>
    <w:rsid w:val="00FD4F17"/>
    <w:rsid w:val="00FE696D"/>
    <w:rsid w:val="00FE6A56"/>
    <w:rsid w:val="00FF64AB"/>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B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 w:type="table" w:styleId="TableGrid">
    <w:name w:val="Table Grid"/>
    <w:basedOn w:val="TableNormal"/>
    <w:uiPriority w:val="39"/>
    <w:rsid w:val="0023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B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ackamas.edu\Data\Depts\Mission%20Fulfillment%20Committee\Core%20Theme%20Work%20Folders\Essential%20Skills\3.2%20Essential%20Skills%20ESL.pdf" TargetMode="External"/><Relationship Id="rId13" Type="http://schemas.openxmlformats.org/officeDocument/2006/relationships/hyperlink" Target="file:///\\clackamas.edu\Data\Depts\Mission%20Fulfillment%20Committee\Core%20Theme%20Work%20Folders\Lifelong%20Learning\Workforce%20Credentials.pdf" TargetMode="External"/><Relationship Id="rId18" Type="http://schemas.openxmlformats.org/officeDocument/2006/relationships/hyperlink" Target="file:///I:\Mission%20Fulfillment%20Committee\Core%20Theme%20Work%20Folders\Lifelong%20Learning\Community%20Ed%20Partner%20Mission%20Indicators.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ublic.tableau.com/profile/bj.nicoletti4205" TargetMode="External"/><Relationship Id="rId17" Type="http://schemas.openxmlformats.org/officeDocument/2006/relationships/hyperlink" Target="file:///\\clackamas.edu\Mission%20Fulfillment%20Committee\Core%20Theme%20Work%20Folders\Lifelong%20Learning\Customized%20Training%20Employer%20Satisfaction.pdf" TargetMode="External"/><Relationship Id="rId2" Type="http://schemas.openxmlformats.org/officeDocument/2006/relationships/styles" Target="styles.xml"/><Relationship Id="rId16" Type="http://schemas.openxmlformats.org/officeDocument/2006/relationships/hyperlink" Target="file:///\\clackamas.edu\Mission%20Fulfillment%20Committee\Core%20Theme%20Work%20Folders\Lifelong%20Learning\Customized%20Training%20Student%20Opinion%20on%20Valu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ackamas.edu\Data\Depts\Mission%20Fulfillment%20Committee\Core%20Theme%20Work%20Folders\Lifelong%20Learning\Percent%20of%20Population%20View.jpg" TargetMode="External"/><Relationship Id="rId5" Type="http://schemas.openxmlformats.org/officeDocument/2006/relationships/footnotes" Target="footnotes.xml"/><Relationship Id="rId15" Type="http://schemas.openxmlformats.org/officeDocument/2006/relationships/hyperlink" Target="file:///I:\Mission%20Fulfillment%20Committee\Core%20Theme%20Work%20Folders\Lifelong%20Learning\Customized%20Training%20CEUs%20-%20Sections,%20Enrollment,%20Headcount,%20Total%20CEUs.pdf" TargetMode="External"/><Relationship Id="rId10" Type="http://schemas.openxmlformats.org/officeDocument/2006/relationships/hyperlink" Target="file:///\\clackamas.edu\Data\Depts\Mission%20Fulfillment%20Committee\Core%20Theme%20Work%20Folders\Essential%20Skills\Transition%20Rate%20from%20200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lackamas.edu\Data\Depts\Mission%20Fulfillment%20Committee\Core%20Theme%20Work%20Folders\Essential%20Skills\3.3%20Essential%20Skills%20Skills.pdf" TargetMode="External"/><Relationship Id="rId14" Type="http://schemas.openxmlformats.org/officeDocument/2006/relationships/hyperlink" Target="file:///\\clackamas.edu\Data\Depts\Mission%20Fulfillment%20Committee\Core%20Theme%20Work%20Folders\Lifelong%20Learning\OJ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3</cp:revision>
  <cp:lastPrinted>2017-06-22T21:23:00Z</cp:lastPrinted>
  <dcterms:created xsi:type="dcterms:W3CDTF">2018-04-19T20:56:00Z</dcterms:created>
  <dcterms:modified xsi:type="dcterms:W3CDTF">2018-04-19T21:10:00Z</dcterms:modified>
</cp:coreProperties>
</file>